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3" w:rsidRDefault="00C67753" w:rsidP="00C67753">
      <w:pPr>
        <w:tabs>
          <w:tab w:val="left" w:pos="396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0248" w:rsidRPr="00E80248" w:rsidRDefault="00E80248" w:rsidP="00E8024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E80248">
        <w:rPr>
          <w:rFonts w:ascii="Arial" w:eastAsia="Calibri" w:hAnsi="Arial" w:cs="Arial"/>
          <w:b/>
          <w:color w:val="000000"/>
          <w:sz w:val="24"/>
          <w:lang w:eastAsia="ar-SA"/>
        </w:rPr>
        <w:t>КРАСНОЯРСКИЙ КРАЙ</w:t>
      </w:r>
    </w:p>
    <w:p w:rsidR="00E80248" w:rsidRPr="00E80248" w:rsidRDefault="00E80248" w:rsidP="00E8024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E80248">
        <w:rPr>
          <w:rFonts w:ascii="Arial" w:eastAsia="Calibri" w:hAnsi="Arial" w:cs="Arial"/>
          <w:b/>
          <w:color w:val="000000"/>
          <w:sz w:val="24"/>
          <w:lang w:eastAsia="ar-SA"/>
        </w:rPr>
        <w:t>ГОРОДСКОЙ ОКРУГ ГОРОД БОРОДИНО КРАСНОЯРСКОГО КРАЯ</w:t>
      </w:r>
    </w:p>
    <w:p w:rsidR="00E80248" w:rsidRPr="00E80248" w:rsidRDefault="00E80248" w:rsidP="00E8024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E80248">
        <w:rPr>
          <w:rFonts w:ascii="Arial" w:eastAsia="Calibri" w:hAnsi="Arial" w:cs="Arial"/>
          <w:b/>
          <w:color w:val="000000"/>
          <w:sz w:val="24"/>
          <w:lang w:eastAsia="ar-SA"/>
        </w:rPr>
        <w:t>АДМИНИСТРАЦИЯ ГОРОДА БОРОДИНО</w:t>
      </w:r>
    </w:p>
    <w:p w:rsidR="00E80248" w:rsidRPr="00E80248" w:rsidRDefault="00E80248" w:rsidP="00E80248">
      <w:pPr>
        <w:tabs>
          <w:tab w:val="left" w:pos="645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</w:p>
    <w:p w:rsidR="00E80248" w:rsidRPr="00E80248" w:rsidRDefault="00E80248" w:rsidP="00E802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E80248">
        <w:rPr>
          <w:rFonts w:ascii="Arial" w:eastAsia="Times New Roman" w:hAnsi="Arial" w:cs="Arial"/>
          <w:b/>
          <w:bCs/>
          <w:kern w:val="1"/>
          <w:sz w:val="24"/>
          <w:szCs w:val="24"/>
        </w:rPr>
        <w:t>ПОСТАНОВЛЕНИЕ</w:t>
      </w:r>
      <w:r w:rsidRPr="00E80248">
        <w:rPr>
          <w:rFonts w:ascii="Arial" w:eastAsia="Times New Roman" w:hAnsi="Arial" w:cs="Arial"/>
          <w:kern w:val="1"/>
          <w:sz w:val="24"/>
          <w:szCs w:val="24"/>
        </w:rPr>
        <w:t> </w:t>
      </w:r>
    </w:p>
    <w:p w:rsidR="00E80248" w:rsidRPr="00E80248" w:rsidRDefault="00E80248" w:rsidP="00E8024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</w:rPr>
      </w:pPr>
    </w:p>
    <w:p w:rsidR="00E80248" w:rsidRPr="006B5132" w:rsidRDefault="006B5132" w:rsidP="006B5132">
      <w:pPr>
        <w:shd w:val="clear" w:color="auto" w:fill="FFFFFF"/>
        <w:tabs>
          <w:tab w:val="left" w:pos="4253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6B5132">
        <w:rPr>
          <w:rFonts w:ascii="Arial" w:eastAsia="Times New Roman" w:hAnsi="Arial" w:cs="Arial"/>
          <w:kern w:val="1"/>
          <w:sz w:val="24"/>
          <w:szCs w:val="24"/>
          <w:lang w:eastAsia="zh-CN"/>
        </w:rPr>
        <w:t>22.06.2023</w:t>
      </w:r>
      <w:r w:rsidRPr="006B5132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                             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Pr="006B5132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E80248" w:rsidRPr="006B5132">
        <w:rPr>
          <w:rFonts w:ascii="Arial" w:eastAsia="Times New Roman" w:hAnsi="Arial" w:cs="Arial"/>
          <w:bCs/>
          <w:kern w:val="1"/>
          <w:sz w:val="24"/>
          <w:szCs w:val="24"/>
        </w:rPr>
        <w:t>г. Бородино</w:t>
      </w:r>
      <w:r w:rsidRPr="006B5132">
        <w:rPr>
          <w:rFonts w:ascii="Arial" w:eastAsia="Times New Roman" w:hAnsi="Arial" w:cs="Arial"/>
          <w:bCs/>
          <w:kern w:val="1"/>
          <w:sz w:val="24"/>
          <w:szCs w:val="24"/>
        </w:rPr>
        <w:t xml:space="preserve">                                             </w:t>
      </w:r>
      <w:r w:rsidRPr="006B5132">
        <w:rPr>
          <w:rFonts w:ascii="Arial" w:eastAsia="Times New Roman" w:hAnsi="Arial" w:cs="Arial"/>
          <w:kern w:val="1"/>
          <w:sz w:val="24"/>
          <w:szCs w:val="24"/>
          <w:lang w:eastAsia="zh-CN"/>
        </w:rPr>
        <w:t>№ 342</w:t>
      </w:r>
    </w:p>
    <w:p w:rsidR="00E80248" w:rsidRPr="00E80248" w:rsidRDefault="00E80248" w:rsidP="00E8024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E80248" w:rsidRPr="006B5132" w:rsidRDefault="00E80248" w:rsidP="00E8024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C67753" w:rsidRPr="00C67753" w:rsidTr="00E80248">
        <w:tc>
          <w:tcPr>
            <w:tcW w:w="9606" w:type="dxa"/>
            <w:vMerge w:val="restart"/>
            <w:shd w:val="clear" w:color="auto" w:fill="FFFFFF"/>
          </w:tcPr>
          <w:p w:rsidR="006B5132" w:rsidRDefault="006B5132" w:rsidP="00C677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753" w:rsidRPr="00C67753" w:rsidRDefault="00C67753" w:rsidP="00C677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753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      </w:r>
          </w:p>
          <w:p w:rsidR="00C67753" w:rsidRPr="00C67753" w:rsidRDefault="00C67753" w:rsidP="00C677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C67753" w:rsidRPr="00C67753" w:rsidRDefault="00C67753" w:rsidP="00C67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753" w:rsidRPr="00C67753" w:rsidTr="00E80248">
        <w:tc>
          <w:tcPr>
            <w:tcW w:w="9606" w:type="dxa"/>
            <w:vMerge/>
            <w:shd w:val="clear" w:color="auto" w:fill="FFFFFF"/>
          </w:tcPr>
          <w:p w:rsidR="00C67753" w:rsidRPr="00C67753" w:rsidRDefault="00C67753" w:rsidP="00C67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C67753" w:rsidRPr="00C67753" w:rsidRDefault="00C67753" w:rsidP="00C67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753" w:rsidRPr="00C67753" w:rsidRDefault="00C67753" w:rsidP="00C677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постановлением администрации города Бородино от 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решением Бородинского городского Совета депутатов от 2</w:t>
      </w:r>
      <w:r w:rsidR="00AD6C52">
        <w:rPr>
          <w:rFonts w:ascii="Arial" w:hAnsi="Arial" w:cs="Arial"/>
          <w:sz w:val="24"/>
          <w:szCs w:val="24"/>
        </w:rPr>
        <w:t>3.05</w:t>
      </w:r>
      <w:r w:rsidRPr="00C67753">
        <w:rPr>
          <w:rFonts w:ascii="Arial" w:hAnsi="Arial" w:cs="Arial"/>
          <w:sz w:val="24"/>
          <w:szCs w:val="24"/>
        </w:rPr>
        <w:t xml:space="preserve">.2023 № </w:t>
      </w:r>
      <w:r w:rsidR="00AD6C52">
        <w:rPr>
          <w:rFonts w:ascii="Arial" w:hAnsi="Arial" w:cs="Arial"/>
          <w:sz w:val="24"/>
          <w:szCs w:val="24"/>
        </w:rPr>
        <w:t>24-225</w:t>
      </w:r>
      <w:r w:rsidRPr="00C67753">
        <w:rPr>
          <w:rFonts w:ascii="Arial" w:hAnsi="Arial" w:cs="Arial"/>
          <w:sz w:val="24"/>
          <w:szCs w:val="24"/>
        </w:rPr>
        <w:t>р «</w:t>
      </w:r>
      <w:r w:rsidRPr="00C67753">
        <w:rPr>
          <w:rFonts w:ascii="Arial" w:eastAsia="Calibri" w:hAnsi="Arial" w:cs="Arial"/>
          <w:color w:val="auto"/>
          <w:sz w:val="24"/>
          <w:szCs w:val="24"/>
          <w:lang w:eastAsia="en-US"/>
        </w:rPr>
        <w:t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годов»,</w:t>
      </w:r>
      <w:r w:rsidRPr="00C67753">
        <w:rPr>
          <w:rFonts w:ascii="Arial" w:hAnsi="Arial" w:cs="Arial"/>
          <w:sz w:val="24"/>
          <w:szCs w:val="24"/>
        </w:rPr>
        <w:t xml:space="preserve"> на основании Устава города Бородино ПОСТАНОВЛЯЮ: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1. Внести в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(далее – программа) следующие изменения: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1.1. В муниципальной программе «Содействие развитию гражданского общества в городе Бородино»: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1.1.1. В разделе 1 «Паспорт муниципальной программы»: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- в </w:t>
      </w:r>
      <w:r w:rsidRPr="00C67753">
        <w:rPr>
          <w:rFonts w:ascii="Arial" w:hAnsi="Arial" w:cs="Arial"/>
          <w:color w:val="auto"/>
          <w:sz w:val="24"/>
          <w:szCs w:val="24"/>
        </w:rPr>
        <w:t>столбце</w:t>
      </w:r>
      <w:r w:rsidRPr="00C677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753">
        <w:rPr>
          <w:rFonts w:ascii="Arial" w:hAnsi="Arial" w:cs="Arial"/>
          <w:sz w:val="24"/>
          <w:szCs w:val="24"/>
        </w:rPr>
        <w:t>2 строки 10 «Информацию по ресурсному обеспечению программы, в том числе в разбивке по источникам финансирования по годам реализации программ»:</w:t>
      </w:r>
    </w:p>
    <w:p w:rsidR="00C67753" w:rsidRPr="00753ECC" w:rsidRDefault="00C67753" w:rsidP="00BF5C0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в абзаце 1 цифры «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52 634 828,15 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рублей» заменить на цифры «52 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772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 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414,81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 рублей»;</w:t>
      </w:r>
    </w:p>
    <w:p w:rsidR="00C67753" w:rsidRPr="00753ECC" w:rsidRDefault="00C67753" w:rsidP="00BF5C0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в абзаце 11 цифры «6 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297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 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536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76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 рублей» заменить на цифры «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6 435 123,42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 рублей»; </w:t>
      </w:r>
    </w:p>
    <w:p w:rsidR="00C67753" w:rsidRPr="00753ECC" w:rsidRDefault="00C67753" w:rsidP="00BF5C0C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53ECC">
        <w:rPr>
          <w:rFonts w:ascii="Arial" w:eastAsia="Times New Roman" w:hAnsi="Arial" w:cs="Arial"/>
          <w:bCs/>
          <w:color w:val="auto"/>
          <w:sz w:val="24"/>
          <w:szCs w:val="24"/>
          <w:lang w:eastAsia="ar-SA"/>
        </w:rPr>
        <w:t xml:space="preserve">1.1.2. В разделе </w:t>
      </w:r>
      <w:r w:rsidRPr="00753ECC">
        <w:rPr>
          <w:rFonts w:ascii="Arial" w:hAnsi="Arial" w:cs="Arial"/>
          <w:bCs/>
          <w:color w:val="auto"/>
          <w:sz w:val="24"/>
          <w:szCs w:val="24"/>
        </w:rPr>
        <w:t xml:space="preserve">10. «Информация о ресурсном обеспечении и прогнозной оценке расходов на реализацию целей программы»: </w:t>
      </w:r>
    </w:p>
    <w:p w:rsidR="00C67753" w:rsidRPr="00753ECC" w:rsidRDefault="00C67753" w:rsidP="00BF5C0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в абзаце 1 цифры «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«52 634 828,15 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рублей» заменить на цифры «</w:t>
      </w:r>
      <w:r w:rsidR="00332640"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52 772 414,81 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рублей»;</w:t>
      </w:r>
    </w:p>
    <w:p w:rsidR="00C67753" w:rsidRPr="00753ECC" w:rsidRDefault="00C67753" w:rsidP="00BF5C0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в абзаце 10 цифры 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6 297 536,76 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рублей» заменить на цифры 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6 435 123,42 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рублей»; </w:t>
      </w:r>
    </w:p>
    <w:p w:rsidR="00C67753" w:rsidRPr="00753ECC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>1.1.3. Приложение №3,4</w:t>
      </w:r>
      <w:r w:rsidRPr="00753ECC">
        <w:rPr>
          <w:rFonts w:ascii="Arial" w:hAnsi="Arial" w:cs="Arial"/>
          <w:color w:val="auto"/>
          <w:sz w:val="24"/>
          <w:szCs w:val="24"/>
        </w:rPr>
        <w:t xml:space="preserve"> к Паспорту муниципальной программы "Содействие развитию гражданского общества в городе Бородино" опубликовать в новой редакции.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lastRenderedPageBreak/>
        <w:t>2. Контроль за исполнением настоящего постановления возложить на заместителя Главы города О.А. Иванину.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3. Постановление подлежит опубликованию в газете «Бородинский вестник» и на сайте городского округа города Бородино Красноярского края. </w:t>
      </w:r>
    </w:p>
    <w:p w:rsidR="00C67753" w:rsidRPr="00C67753" w:rsidRDefault="00C67753" w:rsidP="00BF5C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в газете «Бородинский вестник. </w:t>
      </w:r>
    </w:p>
    <w:p w:rsidR="00C67753" w:rsidRPr="00C67753" w:rsidRDefault="00C67753" w:rsidP="00C67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Глава города Бородино </w:t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  <w:t xml:space="preserve"> А. Ф. Веретенников</w:t>
      </w: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753">
        <w:rPr>
          <w:rFonts w:ascii="Arial" w:hAnsi="Arial" w:cs="Arial"/>
          <w:sz w:val="20"/>
          <w:szCs w:val="20"/>
        </w:rPr>
        <w:t xml:space="preserve">Суровцева </w:t>
      </w:r>
    </w:p>
    <w:p w:rsidR="00C67753" w:rsidRP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4-49-89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EA342E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от </w:t>
      </w:r>
      <w:r w:rsidR="006B5132">
        <w:rPr>
          <w:rFonts w:ascii="Arial" w:hAnsi="Arial" w:cs="Arial"/>
          <w:bCs/>
          <w:sz w:val="24"/>
          <w:szCs w:val="24"/>
        </w:rPr>
        <w:t>22.06.2023</w:t>
      </w:r>
      <w:r w:rsidRPr="008B2B97">
        <w:rPr>
          <w:rFonts w:ascii="Arial" w:hAnsi="Arial" w:cs="Arial"/>
          <w:bCs/>
          <w:sz w:val="24"/>
          <w:szCs w:val="24"/>
        </w:rPr>
        <w:t xml:space="preserve">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="006B5132">
        <w:rPr>
          <w:rFonts w:ascii="Arial" w:hAnsi="Arial" w:cs="Arial"/>
          <w:bCs/>
          <w:sz w:val="24"/>
          <w:szCs w:val="24"/>
        </w:rPr>
        <w:t>342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одиннадцатый этап - 2024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2025 -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2024 - 200 ед.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2025 - 200 ед.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2024 - 280 материалов</w:t>
            </w:r>
          </w:p>
          <w:p w:rsidR="00EA342E" w:rsidRPr="00674A46" w:rsidRDefault="00CD452B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280 материалов</w:t>
            </w:r>
          </w:p>
          <w:p w:rsidR="0003585C" w:rsidRDefault="0003585C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427C7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52 </w:t>
            </w:r>
            <w:r w:rsidR="00D4382A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772 414,81</w:t>
            </w:r>
            <w:r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2016 году всего 3 217 451,73 рублей, в том числе средства местного бюджета 2 527 931,29 рублей,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краевого бюджета 0,00 рублей, внебюджетные средства 689 520,44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B66BBC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AD6C52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435</w:t>
            </w:r>
            <w:r w:rsidR="00B66BBC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AD6C52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123</w:t>
            </w:r>
            <w:r w:rsidR="00B66BBC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,</w:t>
            </w:r>
            <w:r w:rsidR="00AD6C52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42</w:t>
            </w:r>
            <w:r w:rsidR="006463CF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D4382A" w:rsidRPr="00753ECC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6 435 123,42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2024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2025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поднимать, 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». Материалы газеты размещаются на официальном сайте Администрации города Бородино.</w:t>
      </w:r>
    </w:p>
    <w:p w:rsidR="002C306A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</w:t>
      </w:r>
      <w:r w:rsidRPr="00674A46">
        <w:rPr>
          <w:rFonts w:ascii="Arial" w:hAnsi="Arial" w:cs="Arial"/>
          <w:sz w:val="24"/>
          <w:szCs w:val="24"/>
        </w:rPr>
        <w:t>В 2016 и 2017, 2018, 2019 и 2020, 2021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="002C306A">
        <w:rPr>
          <w:rFonts w:ascii="Arial" w:hAnsi="Arial" w:cs="Arial"/>
          <w:sz w:val="24"/>
          <w:szCs w:val="24"/>
        </w:rPr>
        <w:t>В 2022 году в связи с увольнением одного сотрудника</w:t>
      </w:r>
      <w:r w:rsidR="002C306A" w:rsidRPr="002C306A">
        <w:rPr>
          <w:rFonts w:ascii="Arial" w:hAnsi="Arial" w:cs="Arial"/>
          <w:sz w:val="24"/>
          <w:szCs w:val="24"/>
        </w:rPr>
        <w:t xml:space="preserve"> </w:t>
      </w:r>
      <w:r w:rsidR="002C306A" w:rsidRPr="000530CB">
        <w:rPr>
          <w:rFonts w:ascii="Arial" w:hAnsi="Arial" w:cs="Arial"/>
          <w:sz w:val="24"/>
          <w:szCs w:val="24"/>
        </w:rPr>
        <w:t>количество сотрудников, имеющих высшее гума</w:t>
      </w:r>
      <w:r w:rsidR="002C306A">
        <w:rPr>
          <w:rFonts w:ascii="Arial" w:hAnsi="Arial" w:cs="Arial"/>
          <w:sz w:val="24"/>
          <w:szCs w:val="24"/>
        </w:rPr>
        <w:t>нитарное образование составило 4</w:t>
      </w:r>
      <w:r w:rsidR="002C306A" w:rsidRPr="000530CB">
        <w:rPr>
          <w:rFonts w:ascii="Arial" w:hAnsi="Arial" w:cs="Arial"/>
          <w:sz w:val="24"/>
          <w:szCs w:val="24"/>
        </w:rPr>
        <w:t xml:space="preserve"> человек</w:t>
      </w:r>
      <w:r w:rsidR="002C306A">
        <w:rPr>
          <w:rFonts w:ascii="Arial" w:hAnsi="Arial" w:cs="Arial"/>
          <w:sz w:val="24"/>
          <w:szCs w:val="24"/>
        </w:rPr>
        <w:t>а</w:t>
      </w:r>
      <w:r w:rsidR="002C306A" w:rsidRPr="000530CB">
        <w:rPr>
          <w:rFonts w:ascii="Arial" w:hAnsi="Arial" w:cs="Arial"/>
          <w:sz w:val="24"/>
          <w:szCs w:val="24"/>
        </w:rPr>
        <w:t xml:space="preserve">. Один человек имеет стаж </w:t>
      </w:r>
      <w:r w:rsidR="002C306A">
        <w:rPr>
          <w:rFonts w:ascii="Arial" w:hAnsi="Arial" w:cs="Arial"/>
          <w:sz w:val="24"/>
          <w:szCs w:val="24"/>
        </w:rPr>
        <w:t>работы по специальности более 8 лет, 2 – более 5 лет, 1</w:t>
      </w:r>
      <w:r w:rsidR="002C306A" w:rsidRPr="000530CB">
        <w:rPr>
          <w:rFonts w:ascii="Arial" w:hAnsi="Arial" w:cs="Arial"/>
          <w:sz w:val="24"/>
          <w:szCs w:val="24"/>
        </w:rPr>
        <w:t xml:space="preserve"> – более </w:t>
      </w:r>
      <w:r w:rsidR="002C306A">
        <w:rPr>
          <w:rFonts w:ascii="Arial" w:hAnsi="Arial" w:cs="Arial"/>
          <w:sz w:val="24"/>
          <w:szCs w:val="24"/>
        </w:rPr>
        <w:t>1 года</w:t>
      </w:r>
      <w:r w:rsidR="002C306A" w:rsidRPr="000530CB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lastRenderedPageBreak/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2019 года корреспондент А. Ветошкина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</w:t>
      </w:r>
      <w:r w:rsidRPr="00F5774C">
        <w:rPr>
          <w:rFonts w:ascii="Arial" w:hAnsi="Arial" w:cs="Arial"/>
          <w:sz w:val="24"/>
          <w:szCs w:val="24"/>
        </w:rPr>
        <w:t>В 2021 году журналист И. Плишкина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  <w:r>
        <w:rPr>
          <w:rFonts w:ascii="Arial" w:hAnsi="Arial" w:cs="Arial"/>
          <w:sz w:val="24"/>
          <w:szCs w:val="24"/>
        </w:rPr>
        <w:t xml:space="preserve">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 участие во всероссийском конкурсе  для творческой молодёжи «Алый парус». Также в этом году она участвовала в конкурсе журналистских работ Красноярского края «Енисей-РФ»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Наталья.Лакеенок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В 2022 году студентов поступивших на факультеты журналистики и проходящих производственную практику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 2017 года со сменой типа существующего муниципального бюджетного учреждения редакции газеты «Бородинский вестник» на муниципальное казённое </w:t>
      </w:r>
      <w:r w:rsidRPr="000530CB">
        <w:rPr>
          <w:rFonts w:ascii="Arial" w:hAnsi="Arial" w:cs="Arial"/>
          <w:sz w:val="24"/>
          <w:szCs w:val="24"/>
        </w:rPr>
        <w:lastRenderedPageBreak/>
        <w:t>учреждение «Редакция газеты «Бородинский вестник»»,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участие, в качестве информационного партнера, в реализации муниципальных программ, мероприятиях, конкурсах, проектах;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выход выпусков газеты «Бородинский вестник», приложений;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lastRenderedPageBreak/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Бородино информационной открытостью органов местного самоуправления (% от числа опрошенных) </w:t>
      </w:r>
      <w:r w:rsidR="00674A46" w:rsidRPr="00674A46">
        <w:rPr>
          <w:rFonts w:ascii="Arial" w:hAnsi="Arial" w:cs="Arial"/>
          <w:sz w:val="24"/>
          <w:szCs w:val="24"/>
        </w:rPr>
        <w:t xml:space="preserve">на </w:t>
      </w:r>
      <w:r w:rsidR="00674A46" w:rsidRPr="00CD452B">
        <w:rPr>
          <w:rFonts w:ascii="Arial" w:hAnsi="Arial" w:cs="Arial"/>
          <w:sz w:val="24"/>
          <w:szCs w:val="24"/>
        </w:rPr>
        <w:t xml:space="preserve">уровне </w:t>
      </w:r>
      <w:r w:rsidR="00C35CAC">
        <w:rPr>
          <w:rFonts w:ascii="Arial" w:hAnsi="Arial" w:cs="Arial"/>
          <w:sz w:val="24"/>
          <w:szCs w:val="24"/>
        </w:rPr>
        <w:t>97,14</w:t>
      </w:r>
      <w:r w:rsidR="00674A46" w:rsidRPr="00CD452B">
        <w:rPr>
          <w:rFonts w:ascii="Arial" w:hAnsi="Arial" w:cs="Arial"/>
          <w:sz w:val="24"/>
          <w:szCs w:val="24"/>
        </w:rPr>
        <w:t xml:space="preserve"> % к 2025</w:t>
      </w:r>
      <w:r w:rsidRPr="00CD452B">
        <w:rPr>
          <w:rFonts w:ascii="Arial" w:hAnsi="Arial" w:cs="Arial"/>
          <w:sz w:val="24"/>
          <w:szCs w:val="24"/>
        </w:rPr>
        <w:t xml:space="preserve"> году: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200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Pr="00674A46">
        <w:rPr>
          <w:rFonts w:ascii="Arial" w:hAnsi="Arial" w:cs="Arial"/>
          <w:sz w:val="24"/>
          <w:szCs w:val="24"/>
        </w:rPr>
        <w:t>280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A342E" w:rsidRPr="000530CB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lastRenderedPageBreak/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lastRenderedPageBreak/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52 772 414,81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72004A">
        <w:rPr>
          <w:rFonts w:ascii="Arial" w:hAnsi="Arial" w:cs="Arial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57176B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2023 году всего </w:t>
      </w:r>
      <w:r w:rsidR="007963E6" w:rsidRPr="00753ECC">
        <w:rPr>
          <w:rFonts w:ascii="Arial" w:hAnsi="Arial" w:cs="Arial"/>
          <w:color w:val="auto"/>
          <w:sz w:val="24"/>
          <w:szCs w:val="24"/>
          <w:lang w:eastAsia="ar-SA"/>
        </w:rPr>
        <w:t>6</w:t>
      </w:r>
      <w:r w:rsidR="00D4382A" w:rsidRPr="00753ECC">
        <w:rPr>
          <w:rFonts w:ascii="Arial" w:hAnsi="Arial" w:cs="Arial"/>
          <w:color w:val="auto"/>
          <w:sz w:val="24"/>
          <w:szCs w:val="24"/>
          <w:lang w:eastAsia="ar-SA"/>
        </w:rPr>
        <w:t> 435 123,42</w:t>
      </w:r>
      <w:r w:rsidRPr="00753ECC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53ECC">
        <w:rPr>
          <w:rFonts w:ascii="Arial" w:hAnsi="Arial" w:cs="Arial"/>
          <w:sz w:val="24"/>
          <w:szCs w:val="24"/>
          <w:lang w:eastAsia="ar-SA"/>
        </w:rPr>
        <w:t>6 435 123,42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E5A60">
        <w:rPr>
          <w:rFonts w:ascii="Arial" w:hAnsi="Arial" w:cs="Arial"/>
          <w:sz w:val="24"/>
          <w:szCs w:val="24"/>
          <w:lang w:eastAsia="ar-SA"/>
        </w:rPr>
        <w:t>рублей,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A342E" w:rsidRPr="002E5A60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2024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2025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16224"/>
      </w:tblGrid>
      <w:tr w:rsidR="00417C5C" w:rsidRPr="000530CB" w:rsidTr="00056B92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54"/>
              <w:gridCol w:w="385"/>
              <w:gridCol w:w="304"/>
              <w:gridCol w:w="183"/>
              <w:gridCol w:w="528"/>
              <w:gridCol w:w="496"/>
              <w:gridCol w:w="574"/>
              <w:gridCol w:w="567"/>
              <w:gridCol w:w="1148"/>
              <w:gridCol w:w="125"/>
              <w:gridCol w:w="288"/>
              <w:gridCol w:w="1399"/>
              <w:gridCol w:w="597"/>
              <w:gridCol w:w="597"/>
              <w:gridCol w:w="597"/>
              <w:gridCol w:w="602"/>
              <w:gridCol w:w="602"/>
              <w:gridCol w:w="602"/>
              <w:gridCol w:w="611"/>
              <w:gridCol w:w="909"/>
              <w:gridCol w:w="845"/>
              <w:gridCol w:w="848"/>
              <w:gridCol w:w="778"/>
              <w:gridCol w:w="782"/>
            </w:tblGrid>
            <w:tr w:rsidR="00056B92" w:rsidRPr="007A2C4E" w:rsidTr="00056B92">
              <w:trPr>
                <w:trHeight w:val="1063"/>
              </w:trPr>
              <w:tc>
                <w:tcPr>
                  <w:tcW w:w="6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7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056B92" w:rsidRPr="007A2C4E" w:rsidTr="00056B92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7C5C" w:rsidRDefault="00190CFC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17C5C"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6B92" w:rsidRPr="007A2C4E" w:rsidTr="00056B92">
              <w:trPr>
                <w:cantSplit/>
                <w:trHeight w:val="1386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7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6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313" w:type="pct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CD7014" w:rsidRPr="007D78A9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 w:rsidR="00056B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056B92" w:rsidRPr="007A2C4E" w:rsidTr="00056B92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90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8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6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65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417C5C" w:rsidRPr="007A2C4E" w:rsidTr="00056B92">
              <w:trPr>
                <w:trHeight w:val="450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6B6189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17C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8C24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772D73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65" w:type="pct"/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</w:tr>
            <w:tr w:rsidR="00417C5C" w:rsidRPr="007A2C4E" w:rsidTr="00056B92">
              <w:trPr>
                <w:trHeight w:val="71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056B92" w:rsidRPr="007A2C4E" w:rsidTr="00056B92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417C5C" w:rsidRPr="007A2C4E" w:rsidTr="00056B92">
              <w:trPr>
                <w:trHeight w:val="187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417C5C" w:rsidRPr="007A2C4E" w:rsidTr="00056B92">
              <w:trPr>
                <w:trHeight w:val="171"/>
              </w:trPr>
              <w:tc>
                <w:tcPr>
                  <w:tcW w:w="5000" w:type="pct"/>
                  <w:gridSpan w:val="25"/>
                </w:tcPr>
                <w:p w:rsidR="00417C5C" w:rsidRPr="006B6189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Повышение качества издания газеты и осуществление издательской деятельности </w:t>
                  </w:r>
                </w:p>
              </w:tc>
            </w:tr>
            <w:tr w:rsidR="00056B92" w:rsidRPr="007A2C4E" w:rsidTr="00056B92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036"/>
        <w:gridCol w:w="686"/>
        <w:gridCol w:w="556"/>
        <w:gridCol w:w="449"/>
        <w:gridCol w:w="449"/>
        <w:gridCol w:w="449"/>
        <w:gridCol w:w="449"/>
        <w:gridCol w:w="449"/>
        <w:gridCol w:w="449"/>
        <w:gridCol w:w="596"/>
        <w:gridCol w:w="707"/>
        <w:gridCol w:w="707"/>
        <w:gridCol w:w="707"/>
        <w:gridCol w:w="1166"/>
        <w:gridCol w:w="1166"/>
        <w:gridCol w:w="684"/>
        <w:gridCol w:w="684"/>
        <w:gridCol w:w="684"/>
        <w:gridCol w:w="684"/>
        <w:gridCol w:w="342"/>
        <w:gridCol w:w="342"/>
        <w:gridCol w:w="684"/>
      </w:tblGrid>
      <w:tr w:rsidR="00A14287" w:rsidRPr="000530CB" w:rsidTr="00A14287">
        <w:trPr>
          <w:trHeight w:val="2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14287" w:rsidRPr="000530CB" w:rsidTr="004D23ED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4287" w:rsidRPr="001678F9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4287" w:rsidRPr="000530CB" w:rsidTr="00A14287">
        <w:trPr>
          <w:cantSplit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4287" w:rsidRPr="000530CB" w:rsidTr="002C306A">
        <w:trPr>
          <w:gridAfter w:val="2"/>
          <w:trHeight w:val="523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14287" w:rsidRPr="000530CB" w:rsidTr="004D23ED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BBC" w:rsidRPr="000530CB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B66BBC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B66BBC" w:rsidRDefault="00B66BBC" w:rsidP="00B66B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B66BBC" w:rsidRPr="000530CB" w:rsidRDefault="00B66BBC" w:rsidP="00B66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06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6"/>
        <w:gridCol w:w="1959"/>
        <w:gridCol w:w="1819"/>
        <w:gridCol w:w="837"/>
        <w:gridCol w:w="697"/>
        <w:gridCol w:w="1397"/>
        <w:gridCol w:w="706"/>
        <w:gridCol w:w="1537"/>
        <w:gridCol w:w="1537"/>
        <w:gridCol w:w="1537"/>
        <w:gridCol w:w="1681"/>
      </w:tblGrid>
      <w:tr w:rsidR="00B66BBC" w:rsidRPr="000530CB" w:rsidTr="00D4382A">
        <w:trPr>
          <w:trHeight w:val="614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B66BBC" w:rsidRPr="000530CB" w:rsidTr="00D4382A">
        <w:trPr>
          <w:trHeight w:val="2059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D4382A" w:rsidRPr="000530CB" w:rsidTr="00D4382A">
        <w:trPr>
          <w:trHeight w:val="452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D4382A" w:rsidRPr="008A46DB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4382A" w:rsidRPr="001D6947" w:rsidRDefault="00D4382A" w:rsidP="00E802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6 435 123,42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18 994 082,06</w:t>
            </w:r>
          </w:p>
        </w:tc>
      </w:tr>
      <w:tr w:rsidR="00D4382A" w:rsidRPr="000530CB" w:rsidTr="00D4382A">
        <w:trPr>
          <w:trHeight w:val="322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4B6E">
              <w:rPr>
                <w:rFonts w:ascii="Arial" w:hAnsi="Arial" w:cs="Arial"/>
                <w:sz w:val="20"/>
                <w:szCs w:val="20"/>
              </w:rPr>
              <w:t>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3 772 237,92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11 077 629,12</w:t>
            </w:r>
          </w:p>
        </w:tc>
      </w:tr>
      <w:tr w:rsidR="00D4382A" w:rsidRPr="000530CB" w:rsidTr="00D4382A">
        <w:trPr>
          <w:trHeight w:val="12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4 282,00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4 282,00</w:t>
            </w:r>
          </w:p>
        </w:tc>
      </w:tr>
      <w:tr w:rsidR="00D4382A" w:rsidRPr="000530CB" w:rsidTr="00D4382A">
        <w:trPr>
          <w:trHeight w:val="35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1 139 215,85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3 345 443,99</w:t>
            </w:r>
          </w:p>
        </w:tc>
      </w:tr>
      <w:tr w:rsidR="00D4382A" w:rsidRPr="000530CB" w:rsidTr="00D4382A">
        <w:trPr>
          <w:trHeight w:val="366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1 435 263,31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1 439 545,31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4 314 353,93</w:t>
            </w:r>
          </w:p>
        </w:tc>
      </w:tr>
      <w:tr w:rsidR="00D4382A" w:rsidRPr="000530CB" w:rsidTr="00D4382A">
        <w:trPr>
          <w:trHeight w:val="31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252 373,02</w:t>
            </w:r>
          </w:p>
        </w:tc>
      </w:tr>
    </w:tbl>
    <w:p w:rsidR="00B66BBC" w:rsidRDefault="00B66BBC" w:rsidP="00B66BBC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13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A8697E" w:rsidRPr="00A8697E" w:rsidTr="00E80248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7E" w:rsidRPr="00A8697E" w:rsidTr="00E80248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A8697E" w:rsidRPr="00A8697E" w:rsidTr="00E80248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A8697E" w:rsidRPr="00A8697E" w:rsidTr="00E80248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D4382A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6 435 123,42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D438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  <w:r w:rsidR="00D4382A"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994 082,06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697E" w:rsidRPr="00A8697E" w:rsidTr="00E80248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D4382A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6 435 123,42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D4382A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18 994 082,06</w:t>
            </w:r>
          </w:p>
        </w:tc>
      </w:tr>
      <w:tr w:rsidR="00A8697E" w:rsidRPr="00A8697E" w:rsidTr="00E80248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8697E" w:rsidRPr="00A8697E" w:rsidRDefault="00A8697E" w:rsidP="00A8697E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78CF"/>
    <w:rsid w:val="00012466"/>
    <w:rsid w:val="0002693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0CFC"/>
    <w:rsid w:val="001918BC"/>
    <w:rsid w:val="00195E01"/>
    <w:rsid w:val="001B4D0C"/>
    <w:rsid w:val="001B52CC"/>
    <w:rsid w:val="001C16C5"/>
    <w:rsid w:val="001D0294"/>
    <w:rsid w:val="001D6947"/>
    <w:rsid w:val="001F58D4"/>
    <w:rsid w:val="00203C8F"/>
    <w:rsid w:val="00226878"/>
    <w:rsid w:val="00232518"/>
    <w:rsid w:val="00236CBF"/>
    <w:rsid w:val="00240632"/>
    <w:rsid w:val="0024338B"/>
    <w:rsid w:val="0024570C"/>
    <w:rsid w:val="00250D32"/>
    <w:rsid w:val="00257905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59E4"/>
    <w:rsid w:val="002E5A60"/>
    <w:rsid w:val="002F1BD0"/>
    <w:rsid w:val="002F424A"/>
    <w:rsid w:val="002F7D13"/>
    <w:rsid w:val="00301E75"/>
    <w:rsid w:val="00315E31"/>
    <w:rsid w:val="00316553"/>
    <w:rsid w:val="00322888"/>
    <w:rsid w:val="00327D6F"/>
    <w:rsid w:val="0033069C"/>
    <w:rsid w:val="00332640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94F9B"/>
    <w:rsid w:val="003A31C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521975"/>
    <w:rsid w:val="00521DA1"/>
    <w:rsid w:val="0052620F"/>
    <w:rsid w:val="00541D97"/>
    <w:rsid w:val="00545200"/>
    <w:rsid w:val="00546951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B5132"/>
    <w:rsid w:val="006B6189"/>
    <w:rsid w:val="006C15E4"/>
    <w:rsid w:val="006D01B4"/>
    <w:rsid w:val="006D5AF9"/>
    <w:rsid w:val="006E25CE"/>
    <w:rsid w:val="006E5226"/>
    <w:rsid w:val="006F360E"/>
    <w:rsid w:val="007125BE"/>
    <w:rsid w:val="0072004A"/>
    <w:rsid w:val="007343AB"/>
    <w:rsid w:val="0074071B"/>
    <w:rsid w:val="00747709"/>
    <w:rsid w:val="00753ECC"/>
    <w:rsid w:val="00757FD6"/>
    <w:rsid w:val="00771A9A"/>
    <w:rsid w:val="00772D73"/>
    <w:rsid w:val="007963E6"/>
    <w:rsid w:val="007A2C4E"/>
    <w:rsid w:val="007C4B6E"/>
    <w:rsid w:val="007C7AFF"/>
    <w:rsid w:val="007D24E8"/>
    <w:rsid w:val="007D78A9"/>
    <w:rsid w:val="007E5394"/>
    <w:rsid w:val="007E6D26"/>
    <w:rsid w:val="007E7A34"/>
    <w:rsid w:val="007F0FE7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4E60"/>
    <w:rsid w:val="0084726C"/>
    <w:rsid w:val="00851D2D"/>
    <w:rsid w:val="008A46DB"/>
    <w:rsid w:val="008B2B97"/>
    <w:rsid w:val="008B3334"/>
    <w:rsid w:val="008B5166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9136BA"/>
    <w:rsid w:val="009161A7"/>
    <w:rsid w:val="00920436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B0546"/>
    <w:rsid w:val="009D0401"/>
    <w:rsid w:val="009D0DEF"/>
    <w:rsid w:val="009D5792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73E9"/>
    <w:rsid w:val="00A349A0"/>
    <w:rsid w:val="00A403F7"/>
    <w:rsid w:val="00A41787"/>
    <w:rsid w:val="00A647DD"/>
    <w:rsid w:val="00A6757A"/>
    <w:rsid w:val="00A743DF"/>
    <w:rsid w:val="00A8697E"/>
    <w:rsid w:val="00A91C7E"/>
    <w:rsid w:val="00A936BE"/>
    <w:rsid w:val="00A96ACE"/>
    <w:rsid w:val="00AA1451"/>
    <w:rsid w:val="00AA1B72"/>
    <w:rsid w:val="00AA48A4"/>
    <w:rsid w:val="00AD0FCA"/>
    <w:rsid w:val="00AD45AA"/>
    <w:rsid w:val="00AD6C52"/>
    <w:rsid w:val="00AF0129"/>
    <w:rsid w:val="00AF5B09"/>
    <w:rsid w:val="00B00867"/>
    <w:rsid w:val="00B2209A"/>
    <w:rsid w:val="00B3331A"/>
    <w:rsid w:val="00B50FA4"/>
    <w:rsid w:val="00B637FE"/>
    <w:rsid w:val="00B66BBC"/>
    <w:rsid w:val="00B73DEA"/>
    <w:rsid w:val="00B7594A"/>
    <w:rsid w:val="00B83EA4"/>
    <w:rsid w:val="00B85898"/>
    <w:rsid w:val="00B92417"/>
    <w:rsid w:val="00BA3A50"/>
    <w:rsid w:val="00BA7F7B"/>
    <w:rsid w:val="00BB0B5E"/>
    <w:rsid w:val="00BB3728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BF5C0C"/>
    <w:rsid w:val="00C04F11"/>
    <w:rsid w:val="00C13A9C"/>
    <w:rsid w:val="00C22734"/>
    <w:rsid w:val="00C26DC1"/>
    <w:rsid w:val="00C35494"/>
    <w:rsid w:val="00C35CAC"/>
    <w:rsid w:val="00C41E9C"/>
    <w:rsid w:val="00C43F40"/>
    <w:rsid w:val="00C47CB4"/>
    <w:rsid w:val="00C5058B"/>
    <w:rsid w:val="00C528AB"/>
    <w:rsid w:val="00C67753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2A6B"/>
    <w:rsid w:val="00CE5522"/>
    <w:rsid w:val="00CF14C9"/>
    <w:rsid w:val="00D00379"/>
    <w:rsid w:val="00D065A6"/>
    <w:rsid w:val="00D111D9"/>
    <w:rsid w:val="00D16558"/>
    <w:rsid w:val="00D302EE"/>
    <w:rsid w:val="00D41AB6"/>
    <w:rsid w:val="00D4382A"/>
    <w:rsid w:val="00D53111"/>
    <w:rsid w:val="00D73CCC"/>
    <w:rsid w:val="00DA10A1"/>
    <w:rsid w:val="00DA4A77"/>
    <w:rsid w:val="00DC71FA"/>
    <w:rsid w:val="00DC7E57"/>
    <w:rsid w:val="00DD2412"/>
    <w:rsid w:val="00DE58F3"/>
    <w:rsid w:val="00DF0E37"/>
    <w:rsid w:val="00DF421C"/>
    <w:rsid w:val="00E0158D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0248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27075"/>
    <w:rsid w:val="00F45FF7"/>
    <w:rsid w:val="00F54557"/>
    <w:rsid w:val="00F633BC"/>
    <w:rsid w:val="00F771BE"/>
    <w:rsid w:val="00F816AB"/>
    <w:rsid w:val="00F84014"/>
    <w:rsid w:val="00FA14FF"/>
    <w:rsid w:val="00FB17AB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5B3B-0F7F-4568-BCFA-FFE5BE5D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10245</TotalTime>
  <Pages>21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159</cp:revision>
  <cp:lastPrinted>2023-06-22T04:26:00Z</cp:lastPrinted>
  <dcterms:created xsi:type="dcterms:W3CDTF">2020-09-17T06:54:00Z</dcterms:created>
  <dcterms:modified xsi:type="dcterms:W3CDTF">2023-06-22T04:29:00Z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