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Экономическое развитие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Город Бородино - муниципальное образование, которое законом Красноярского края от 12.11.04 г. № 12-2507 «Об установлении границ муниципального образования города Бородино и о наделении его статусом городского округа» наделено статусом городского округа и является самостоятельным муниципальным образованием, имеет свой герб и другие символы городского самоуправления.</w:t>
      </w:r>
    </w:p>
    <w:p w:rsidR="0044208C" w:rsidRDefault="0044208C" w:rsidP="004420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81" w:firstLine="74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Площадь территории составляет 3517 га, другие населенные пункты, входящие в ее состав отсутствуют.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Население города Бородино на 1 января 2016 года составило </w:t>
      </w: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  <w:t xml:space="preserve">16218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человек.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Город расположен на  184 км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осточнее  краевого центра города  Красноярска и в 18 км. к юго-востоку от города Заозерный и ближайшей железнодорожной станции Заозерная.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Город обладает уникальными природными особенностями – месторождением бурого угля, одним из крупнейших в Канско-Ачинском бассейне. 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территории города осуществляют производственную деятельность  три промышленных предприятия:</w:t>
      </w:r>
    </w:p>
    <w:p w:rsidR="0044208C" w:rsidRDefault="0044208C" w:rsidP="0044208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-180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 АО «СУЭК - Красноярск» (филиал АО «СУЭК - Красноярск» «Разрез Бородинский» и филиал АО «СУЭК-Красноярск» «Бородинское ПТУ»);             </w:t>
      </w:r>
    </w:p>
    <w:p w:rsidR="0044208C" w:rsidRDefault="0044208C" w:rsidP="0044208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-180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ООО «Бородинский ремонтно-механический завод;</w:t>
      </w:r>
    </w:p>
    <w:p w:rsidR="0044208C" w:rsidRDefault="0044208C" w:rsidP="004420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80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Обособленное подразделение ООО «Строительная компания» подразделение «Бородинское».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Муниципальные предприятия промышленности в городе отсутствуют.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Крайне важными показателями развития муниципального образования являются показатели развития производства, занятости населения и уровень заработной платы.</w:t>
      </w:r>
    </w:p>
    <w:p w:rsidR="0044208C" w:rsidRDefault="0044208C" w:rsidP="0044208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итогам 2015 года наблюдается увеличение объема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отгруженной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продукции собственного производства, выполненных работ и услуг собственными силами,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который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городу составил  7,185 млрд. рублей (19,7% к соответствующему периоду  2014 года, 2014г. – 6,000 млрд. рублей). 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Средняя номинальная начисленная заработная плата по крупным и средним предприятиям за  2015 год составила 30003,1 руб., что на 8,1% выше уровня 2014 года (2014 г. – 27741,0руб.). Уровень регистрируемой безработицы составил в 2014 году - 1,70 %, в 2015 году – 1,76 %.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целом город Бородино сохранил положительные тенденции социально-экономического развития. В отчетном году администрацией города разработаны и реализованы мероприятия по обеспечению социально-экономической стабильности города. Данные мероприятия направлены на обеспечение занятости населения, предотвращение образования задолженности по заработной плате, обеспечение устойчивой работы систем жизнеобеспечения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населения, обеспечение населения основными продуктами питания, поддержку малого бизнеса, устойчивую работу организаций социальной сферы и реального сектора экономики, мобилизацию доходов, повышение эффективности и экономии расходов бюджета города.   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Число субъектов малого и среднего предпринимательства</w:t>
      </w:r>
    </w:p>
    <w:p w:rsidR="0044208C" w:rsidRDefault="0044208C" w:rsidP="00442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современных условиях одним из важнейших элементов социально-экономического развития муниципального образования является малое и среднее предпринимательство, как наиболее массовая, динамичная и гибкая форма деловой жизни.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01.01.2016  года на территории города осуществляют деятельность 69 малых предприятий (численность работников – 792 человека). </w:t>
      </w:r>
    </w:p>
    <w:p w:rsidR="0044208C" w:rsidRDefault="0044208C" w:rsidP="00442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В 2015 году на территории города Бородино было зарегистрировано 366  индивидуальных предпринимателей с численностью работников 464 чел.</w:t>
      </w:r>
    </w:p>
    <w:p w:rsidR="0044208C" w:rsidRDefault="0044208C" w:rsidP="00442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Большинство малых предприятий и индивидуальных предпринимателей применяют упрощенную систему налогообложения, либо являются плательщиками единого налога на вмененный доход.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Преобладающей сферой деятельности индивидуальных предпринимателей является торговля. В сфере потребительского рынка функционирует 101 магазин, 17 точек общественного питания, 6 торговых павильонов, 5 киосков, 10 парикмахерских, 5– АЗС,  8 аптек, 1 аптечный пункт.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обеспечения условий интенсивного роста малого и среднего предпринимательства в городе Бородино в 2015 году действовала муниципальная программа «Развитие субъектов малого и среднего предпринимательства в городе Бородино». Общий объем финансирования в рамках программы составил 830,60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Объем запланированных бюджетных ассигнований за счет средств местного бюджета в 2015 г. составил 200 тыс. рублей.(было освоено 45,8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  За счет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кр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аевого бюджета в 2015 году городу было выделено 375,0 тыс. руб. Так же была получена субсидия за счет средств федерального бюджета в сумме 409,8 тыс. руб.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44208C" w:rsidRDefault="0044208C" w:rsidP="00442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увеличилась с 25,29% в 2014 году до 29,65% в 2015 году. Это происходит в связи с ростом количества малых предприятий  и численностью их работников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Объем инвестиций в основной капитал (за исключением бюджетных средств) в расчете на 1 человека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left="20" w:firstLine="5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left="20" w:firstLine="5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Одним из показателей, характеризующих развитие экономики муниципального образования, является показатель  инвестиционной активности – объем инвестиций в основной капитал.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left="20" w:firstLine="5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Анализ структуры инвестиций показывает, что в городе имеются как бюджетные, так и внебюджетные инвестиции, собственные средства предприятий.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left="20" w:firstLine="5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Объем инвестиций в основной капитал в 2015 году составил 506,34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млн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.(в 2014 – 380,22млн. руб., 133,17 % к 2014 г.), в том числе за счет бюджетных средств - в 2015 году объем составил 65049,0 тыс. руб. ( в 2014 г. – 48811,00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тыс.руб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.)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left="20" w:firstLine="5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Инвестиции в основной капитал за счет средств предприятий в 2015 году были </w:t>
      </w:r>
      <w:r>
        <w:rPr>
          <w:rFonts w:ascii="Times New Roman CYR" w:hAnsi="Times New Roman CYR" w:cs="Times New Roman CYR"/>
          <w:sz w:val="28"/>
          <w:szCs w:val="28"/>
        </w:rPr>
        <w:t>направлены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left="20" w:firstLine="560"/>
        <w:jc w:val="both"/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</w:pP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4943"/>
      </w:tblGrid>
      <w:tr w:rsidR="0044208C">
        <w:tc>
          <w:tcPr>
            <w:tcW w:w="4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Наименование предприятия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Вид инвестирования</w:t>
            </w:r>
          </w:p>
        </w:tc>
      </w:tr>
      <w:tr w:rsidR="0044208C">
        <w:tc>
          <w:tcPr>
            <w:tcW w:w="4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филиал АО «СУЭК – Красноярск» «Разрез Бородинский им. М.И.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Щадова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модернизация и обновление материально-технической базы предприятия</w:t>
            </w:r>
          </w:p>
        </w:tc>
      </w:tr>
      <w:tr w:rsidR="0044208C">
        <w:tc>
          <w:tcPr>
            <w:tcW w:w="4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филиал АО «СУЭК – Красноярск» «Бородинское погрузочно-транспортное управление»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приобретение оборудования для перевозки угля</w:t>
            </w:r>
          </w:p>
        </w:tc>
      </w:tr>
      <w:tr w:rsidR="0044208C">
        <w:tc>
          <w:tcPr>
            <w:tcW w:w="4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ООО «Бородинский ремонтно-механический завод»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приобретение оборудования</w:t>
            </w:r>
          </w:p>
        </w:tc>
      </w:tr>
      <w:tr w:rsidR="0044208C">
        <w:tc>
          <w:tcPr>
            <w:tcW w:w="4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ООО «Строительная компания»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приобретение оборудования</w:t>
            </w:r>
          </w:p>
        </w:tc>
      </w:tr>
    </w:tbl>
    <w:p w:rsidR="0044208C" w:rsidRDefault="0044208C" w:rsidP="0044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</w:t>
      </w:r>
    </w:p>
    <w:p w:rsidR="0044208C" w:rsidRDefault="0044208C" w:rsidP="0044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период до 2018 года предусмотрены частные инвестиции в строительство следующих объектов промышленного назначения: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559"/>
        <w:gridCol w:w="1027"/>
        <w:gridCol w:w="1134"/>
        <w:gridCol w:w="2693"/>
      </w:tblGrid>
      <w:tr w:rsidR="0044208C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№</w:t>
            </w:r>
          </w:p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объекта промышленного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Назначение объекта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Год начала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Объем вложений,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Примечание</w:t>
            </w:r>
          </w:p>
        </w:tc>
      </w:tr>
      <w:tr w:rsidR="0044208C">
        <w:trPr>
          <w:trHeight w:val="10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Строительство бани-мойки (модульного типа) для локомотивных бригад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- бытовое здание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Филиал АО "СУЭК-Красноярск" "Бородинское ПТУ"</w:t>
            </w:r>
          </w:p>
        </w:tc>
      </w:tr>
      <w:tr w:rsidR="0044208C">
        <w:trPr>
          <w:trHeight w:val="10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Строительство  3-х тупиков парка Уральская ст. Угольная 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Железнодорожное сооружение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70 652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Филиал АО "СУЭК-Красноярск" "Бородинское ПТУ"</w:t>
            </w:r>
          </w:p>
        </w:tc>
      </w:tr>
      <w:tr w:rsidR="0044208C">
        <w:trPr>
          <w:trHeight w:val="7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Строительство мойки думпкаров на                                      ст. Породная-2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Сервисное здание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53 494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Филиал АО "СУЭК-Красноярск" "Бородинское ПТУ"</w:t>
            </w:r>
          </w:p>
        </w:tc>
      </w:tr>
      <w:tr w:rsidR="0044208C">
        <w:trPr>
          <w:trHeight w:val="7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Строительство  складского помещения для хранения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бочкотары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Складское здание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15 575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Филиал АО "СУЭК-Красноярск" "Разрез Бородинский имени М.И.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Щадова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"</w:t>
            </w:r>
          </w:p>
        </w:tc>
      </w:tr>
    </w:tbl>
    <w:p w:rsidR="0044208C" w:rsidRDefault="0044208C" w:rsidP="0044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16"/>
          <w:szCs w:val="16"/>
        </w:rPr>
      </w:pPr>
    </w:p>
    <w:p w:rsidR="0044208C" w:rsidRDefault="0044208C" w:rsidP="0044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left="20" w:firstLine="5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Бюджетные инвестиции в 2015 году были направлены на реконструкцию объектов социальной и коммунальной инфраструктуры, предусмотренных комплексным планом модернизации моногорода Бородино.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left="20" w:firstLine="5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связи с дефицитом бюджета  на плановый период 2016-2018 годов инвестиций в основной капитал за счет бюджетных средств не планируется. 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left="20" w:firstLine="5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Расчет итогового показателя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1484"/>
        <w:gridCol w:w="1662"/>
        <w:gridCol w:w="1799"/>
        <w:gridCol w:w="1941"/>
      </w:tblGrid>
      <w:tr w:rsidR="0044208C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2015факт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2016оценка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2017прогноз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2018прогноз</w:t>
            </w:r>
          </w:p>
        </w:tc>
      </w:tr>
      <w:tr w:rsidR="0044208C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инвестиций в основной капитал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сего,тыс.рублей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506337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465118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486513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505487</w:t>
            </w:r>
          </w:p>
        </w:tc>
      </w:tr>
      <w:tr w:rsidR="0044208C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 них бюджетные средства,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65049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44208C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инвестиций без бюджетных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ыс.рублей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441288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465118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486513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505487</w:t>
            </w:r>
          </w:p>
        </w:tc>
      </w:tr>
      <w:tr w:rsidR="0044208C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Среднегодовая численность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населения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16278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16156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16030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15901</w:t>
            </w:r>
          </w:p>
        </w:tc>
      </w:tr>
      <w:tr w:rsidR="0044208C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Объем инвестиций (без бюджетных средств) на 1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жителя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27109,5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28789,18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30350,18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31789,67</w:t>
            </w:r>
          </w:p>
        </w:tc>
      </w:tr>
    </w:tbl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начало 2016 года площадь города Бородино составляет 6574 га. Доля площади земельных участков, являющихся объектами налогообложения земельным налогом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общей площади территории городского округа за 2015 год увеличилась на 0,27% от общей площади территории городского округа,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составила 56,67 %. Данные изменения, , объясняется рядом факторов, к которым можно отнести следующие: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-продажа земельных участков, государственная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собьственность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которые не разграничена в частную собственность;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предоставление земельных участков, государственная собственность которых 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оазграничена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собственность многодетным семьям;</w:t>
      </w:r>
    </w:p>
    <w:p w:rsidR="0044208C" w:rsidRP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формирование земельных участков и их постановка на государственный кадастровый учет.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прибыльных сельскохозяйственных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организаций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 общем их числе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P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Сельскохозяйственных организаций в муниципальном образовании нет.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Доля протяженности автомобильных дорог  общего пользования  местного значения, не отвечающие нормативным требованиям, в общей протяженности дорог общего пользования местного значения в 2015г. составила 94 %, а в 2014г. 86 %. В связи с массовой частной застройкой в микрорайоне Северный добавились дороги с грунтовым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покрытием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следовательно, увеличилась общая протяженность автомобильных дорог, поэтому процент больше в 2015г. больше чем 2014г.</w:t>
      </w:r>
    </w:p>
    <w:p w:rsidR="0044208C" w:rsidRP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Отличие от данных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Красстата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обусловлено тем, что в статистику  были поданы неверные данные.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 в общей численности населения городского округа (муниципального района)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P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 имеет регулярное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автобусноее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сообщение с административным центром Красноярского края.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Среднемесячная номинальная начисленная заработная плата работников: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крупных и средних предприятий и некоммерческих организаций городского округа (муниципального района)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Среднемесячная заработная плата (по крупным и средним    предприятиям), согласно данным Росстата в 2015 году составила 30003,10 руб. (в 2014 году - 27741,00 руб.), рост  заработной платы составил 108,2%.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муниципальных дошкольных образовательных учреждений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Среднемесячная заработная плата: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муниципальных дошкольных образовательных учреждений  - 16 736,6 рубля (в 2014 году -14 538,6  руб.), рост составил 115,1 %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;</w:t>
      </w:r>
      <w:proofErr w:type="gramEnd"/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муниципальных общеобразовательных учреждений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Среднемесячная номинальная начисленная заработная плата: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муниципальных общеобразовательных учреждений  - 27 342,5 рубля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в 2014 году - 24 502,7 ), рост заработной платы составил 111,6 %;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учителей муниципальных общеобразовательных учреждений – 33 913,38 рубле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2014 году т- 29 698,61  руб.), рост заработной платы составил 114,2 %.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муниципальных учреждений культуры и искусства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Среднемесячная номинальная начисленная заработная плата работников муниципальных учреждений культуры и искусства в 2015 году составила 21 056,0 руб. (в 2014 году - 19 611,60 0 руб.), рост заработной платы составил 107,4%.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муниципальных учреждений физической культуры и спорта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Среднемесячная номинальная начисленная заработная плата работников муниципальных учреждений физической культуры и спорта в 2015 году составила 21 720,6 руб. (в 2014 году - 20 027,5 руб.).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Дошкольное образование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2015 году в городе функционировали 7 дошкольных учреждений на 1061 место, которые посещали 1064 ребёнка. В сентябре 2015 года количество мест увеличено на  10 в соответствии с санитарными правилами и нормами,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очереди детей в возрасте от 3 до 7 лет нет с 1 декабря 2014 года.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Охват детей дошкольным образованием составил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 конец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2015 года 67,5% (в 2014 году – 61%).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 конец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2015 года в очереди на получение мест в детские сады стояли 417 детей (на конец.2014 года в очереди насчитывалось 405 человек). </w:t>
      </w:r>
    </w:p>
    <w:p w:rsidR="0044208C" w:rsidRDefault="0044208C" w:rsidP="0044208C">
      <w:pPr>
        <w:tabs>
          <w:tab w:val="left" w:pos="567"/>
          <w:tab w:val="left" w:pos="451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ab/>
        <w:t>В</w:t>
      </w:r>
      <w:r>
        <w:rPr>
          <w:rFonts w:ascii="Calibri" w:hAnsi="Calibri" w:cs="Calibri"/>
          <w:color w:val="00000A"/>
          <w:sz w:val="28"/>
          <w:szCs w:val="28"/>
        </w:rPr>
        <w:t xml:space="preserve"> 2015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году</w:t>
      </w:r>
      <w:r>
        <w:rPr>
          <w:rFonts w:ascii="Calibri" w:hAnsi="Calibri" w:cs="Calibri"/>
          <w:color w:val="00000A"/>
          <w:sz w:val="28"/>
          <w:szCs w:val="28"/>
        </w:rPr>
        <w:t xml:space="preserve"> 20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детей</w:t>
      </w:r>
      <w:r>
        <w:rPr>
          <w:rFonts w:ascii="Calibri" w:hAnsi="Calibri" w:cs="Calibri"/>
          <w:color w:val="00000A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инвалидов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зачислены</w:t>
      </w:r>
      <w:proofErr w:type="gramEnd"/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ДОУ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получают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образовательную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услугу</w:t>
      </w:r>
      <w:r>
        <w:rPr>
          <w:rFonts w:ascii="Calibri" w:hAnsi="Calibri" w:cs="Calibri"/>
          <w:color w:val="00000A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</w:t>
      </w:r>
      <w:r>
        <w:rPr>
          <w:rFonts w:ascii="Calibri" w:hAnsi="Calibri" w:cs="Calibri"/>
          <w:color w:val="00000A"/>
          <w:sz w:val="28"/>
          <w:szCs w:val="28"/>
        </w:rPr>
        <w:t xml:space="preserve"> 2014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году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–</w:t>
      </w:r>
      <w:r>
        <w:rPr>
          <w:rFonts w:ascii="Calibri" w:hAnsi="Calibri" w:cs="Calibri"/>
          <w:color w:val="00000A"/>
          <w:sz w:val="28"/>
          <w:szCs w:val="28"/>
        </w:rPr>
        <w:t xml:space="preserve"> 12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человек</w:t>
      </w:r>
      <w:r>
        <w:rPr>
          <w:rFonts w:ascii="Calibri" w:hAnsi="Calibri" w:cs="Calibri"/>
          <w:color w:val="00000A"/>
          <w:sz w:val="28"/>
          <w:szCs w:val="28"/>
        </w:rPr>
        <w:t xml:space="preserve">).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Тем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семьям</w:t>
      </w:r>
      <w:r>
        <w:rPr>
          <w:rFonts w:ascii="Calibri" w:hAnsi="Calibri" w:cs="Calibri"/>
          <w:color w:val="00000A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дети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из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которых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не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могут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посещать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детский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сад</w:t>
      </w:r>
      <w:r>
        <w:rPr>
          <w:rFonts w:ascii="Calibri" w:hAnsi="Calibri" w:cs="Calibri"/>
          <w:color w:val="00000A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организована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консультативная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помощь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педагогов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специалистов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на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дому</w:t>
      </w:r>
      <w:r>
        <w:rPr>
          <w:rFonts w:ascii="Calibri" w:hAnsi="Calibri" w:cs="Calibri"/>
          <w:color w:val="00000A"/>
          <w:sz w:val="28"/>
          <w:szCs w:val="28"/>
        </w:rPr>
        <w:t xml:space="preserve">. </w:t>
      </w:r>
    </w:p>
    <w:p w:rsidR="0044208C" w:rsidRDefault="0044208C" w:rsidP="0044208C">
      <w:p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Улучшение качества дошкольного образования является одной из приоритетных задач.  С 1 сентября 2015 года все дошкольные учреждения города перешли на реализацию образовательных программ в соответствии с федеральными государственными образовательными стандартами.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Серьёзное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внимание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уделяется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ремонтам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укреплению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материально</w:t>
      </w:r>
      <w:r>
        <w:rPr>
          <w:rFonts w:ascii="Calibri" w:hAnsi="Calibri" w:cs="Calibri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технической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базы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дошкольных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учреждений</w:t>
      </w:r>
      <w:r>
        <w:rPr>
          <w:rFonts w:ascii="Calibri" w:hAnsi="Calibri" w:cs="Calibri"/>
          <w:sz w:val="28"/>
          <w:szCs w:val="28"/>
        </w:rPr>
        <w:t>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Доля детей от 1 до 6 лет, получающих дошкольное образование на 01.01.2016 в дошкольных образовательных учрежден</w:t>
      </w:r>
      <w:r w:rsidR="00F32283">
        <w:rPr>
          <w:rFonts w:ascii="Times New Roman CYR" w:hAnsi="Times New Roman CYR" w:cs="Times New Roman CYR"/>
          <w:sz w:val="28"/>
          <w:szCs w:val="28"/>
        </w:rPr>
        <w:t>иях города, составляет  82,10 %(1035 человек). Общая численность детей в возрасте от 1 до 6 лет составляет 1287 человек.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Доля детей, состоящих на учете для определения в детские сады,   от 1 года до 6 лет на 01.01.2016 года составляет </w:t>
      </w:r>
      <w:r w:rsidR="00F32283">
        <w:rPr>
          <w:rFonts w:ascii="Times New Roman CYR" w:hAnsi="Times New Roman CYR" w:cs="Times New Roman CYR"/>
          <w:sz w:val="28"/>
          <w:szCs w:val="28"/>
        </w:rPr>
        <w:t>3,16% (252 человека).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муниципальных дошкольных образовательных учреждений, нуждающихся в капитальном ремонт</w:t>
      </w:r>
      <w:r w:rsidR="00F32283">
        <w:rPr>
          <w:rFonts w:ascii="Times New Roman CYR" w:hAnsi="Times New Roman CYR" w:cs="Times New Roman CYR"/>
          <w:sz w:val="28"/>
          <w:szCs w:val="28"/>
        </w:rPr>
        <w:t>е составила</w:t>
      </w:r>
      <w:proofErr w:type="gramEnd"/>
      <w:r w:rsidR="00F32283">
        <w:rPr>
          <w:rFonts w:ascii="Times New Roman CYR" w:hAnsi="Times New Roman CYR" w:cs="Times New Roman CYR"/>
          <w:sz w:val="28"/>
          <w:szCs w:val="28"/>
        </w:rPr>
        <w:t xml:space="preserve"> в 2015 году 14,29 % (1 детский сад).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Общее и дополнительное образование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>Основное внимание, как и в предыдущие годы в сфере образования, в 2015 году было уделено решению следующих задач: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обеспечение устойчивой работы образовательных учреждений, отвечающих современным требованиям;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укрепление материально-технической базы образовательных учреждений и обеспечение безопасности образовательного процесса;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подготовка кадрового ресурса;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отдых и оздоровление детей.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В 3-х школах на 01.09.2015 года обучалось 2030 человек (в 2014 году – 2009), из них по состоянию здоровья 15 человек находились на надомном обучении, по адаптированным программам обучались 68 детей (дети с ограниченными возможностями здоровья).  Пять человек по заявлениям родителей получали обучение вне школы, в семейной форме.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На «4» и «5» окончили 2014-2015 учебный год 32% обучающихся, (в прошлом году – 33%), 1 девятиклассник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получил аттестат особого образца, 11 выпускников получили аттестаты с отличием и медали «За особые успехи в учении» (в прошлом году – 4 девятиклассника и 6 выпускников школы).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Детей, исключённых из школ города, выбывших и не получающих образования, в 2014-2015 учебном году не было.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Выпускники</w:t>
      </w:r>
      <w:r>
        <w:rPr>
          <w:rFonts w:ascii="Calibri" w:hAnsi="Calibri" w:cs="Calibri"/>
          <w:sz w:val="28"/>
          <w:szCs w:val="28"/>
        </w:rPr>
        <w:t xml:space="preserve"> 11-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классов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сдаче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экзаменов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ЕГЭ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показывают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высокие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результаты</w:t>
      </w:r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Calibri" w:hAnsi="Calibri" w:cs="Calibri"/>
          <w:sz w:val="28"/>
          <w:szCs w:val="28"/>
        </w:rPr>
        <w:t xml:space="preserve"> 2015 </w:t>
      </w:r>
      <w:r>
        <w:rPr>
          <w:rFonts w:ascii="Times New Roman CYR" w:hAnsi="Times New Roman CYR" w:cs="Times New Roman CYR"/>
          <w:sz w:val="28"/>
          <w:szCs w:val="28"/>
        </w:rPr>
        <w:t>году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средний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балл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всем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предметам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кроме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истории</w:t>
      </w:r>
      <w:r>
        <w:rPr>
          <w:rFonts w:ascii="Calibri" w:hAnsi="Calibri" w:cs="Calibri"/>
          <w:sz w:val="28"/>
          <w:szCs w:val="28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бородинских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школьников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выше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краевых</w:t>
      </w:r>
      <w:r>
        <w:rPr>
          <w:rFonts w:ascii="Calibri" w:hAnsi="Calibri" w:cs="Calibri"/>
          <w:sz w:val="28"/>
          <w:szCs w:val="28"/>
        </w:rPr>
        <w:t xml:space="preserve">. 100 </w:t>
      </w:r>
      <w:r>
        <w:rPr>
          <w:rFonts w:ascii="Times New Roman CYR" w:hAnsi="Times New Roman CYR" w:cs="Times New Roman CYR"/>
          <w:sz w:val="28"/>
          <w:szCs w:val="28"/>
        </w:rPr>
        <w:t>баллов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получены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экзаменах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русскому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языку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химии</w:t>
      </w:r>
      <w:r>
        <w:rPr>
          <w:rFonts w:ascii="Calibri" w:hAnsi="Calibri" w:cs="Calibri"/>
          <w:sz w:val="28"/>
          <w:szCs w:val="28"/>
        </w:rPr>
        <w:t xml:space="preserve">.  </w:t>
      </w:r>
      <w:r>
        <w:rPr>
          <w:rFonts w:ascii="Times New Roman CYR" w:hAnsi="Times New Roman CYR" w:cs="Times New Roman CYR"/>
          <w:sz w:val="28"/>
          <w:szCs w:val="28"/>
        </w:rPr>
        <w:t>Выше</w:t>
      </w:r>
      <w:r>
        <w:rPr>
          <w:rFonts w:ascii="Calibri" w:hAnsi="Calibri" w:cs="Calibri"/>
          <w:sz w:val="28"/>
          <w:szCs w:val="28"/>
        </w:rPr>
        <w:t xml:space="preserve"> 90 </w:t>
      </w:r>
      <w:r>
        <w:rPr>
          <w:rFonts w:ascii="Times New Roman CYR" w:hAnsi="Times New Roman CYR" w:cs="Times New Roman CYR"/>
          <w:sz w:val="28"/>
          <w:szCs w:val="28"/>
        </w:rPr>
        <w:t>баллов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набрали</w:t>
      </w:r>
      <w:r>
        <w:rPr>
          <w:rFonts w:ascii="Calibri" w:hAnsi="Calibri" w:cs="Calibri"/>
          <w:sz w:val="28"/>
          <w:szCs w:val="28"/>
        </w:rPr>
        <w:t xml:space="preserve"> 7 </w:t>
      </w:r>
      <w:r>
        <w:rPr>
          <w:rFonts w:ascii="Times New Roman CYR" w:hAnsi="Times New Roman CYR" w:cs="Times New Roman CYR"/>
          <w:sz w:val="28"/>
          <w:szCs w:val="28"/>
        </w:rPr>
        <w:t>человек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русскому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языку</w:t>
      </w:r>
      <w:r>
        <w:rPr>
          <w:rFonts w:ascii="Calibri" w:hAnsi="Calibri" w:cs="Calibri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Calibri" w:hAnsi="Calibri" w:cs="Calibri"/>
          <w:sz w:val="28"/>
          <w:szCs w:val="28"/>
        </w:rPr>
        <w:t xml:space="preserve"> 90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Calibri" w:hAnsi="Calibri" w:cs="Calibri"/>
          <w:sz w:val="28"/>
          <w:szCs w:val="28"/>
        </w:rPr>
        <w:t xml:space="preserve"> 98), 1 </w:t>
      </w:r>
      <w:r>
        <w:rPr>
          <w:rFonts w:ascii="Times New Roman CYR" w:hAnsi="Times New Roman CYR" w:cs="Times New Roman CYR"/>
          <w:sz w:val="28"/>
          <w:szCs w:val="28"/>
        </w:rPr>
        <w:t>человек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химии</w:t>
      </w:r>
      <w:r>
        <w:rPr>
          <w:rFonts w:ascii="Calibri" w:hAnsi="Calibri" w:cs="Calibri"/>
          <w:sz w:val="28"/>
          <w:szCs w:val="28"/>
        </w:rPr>
        <w:t xml:space="preserve"> (94</w:t>
      </w:r>
      <w:r>
        <w:rPr>
          <w:rFonts w:ascii="Times New Roman CYR" w:hAnsi="Times New Roman CYR" w:cs="Times New Roman CYR"/>
          <w:sz w:val="28"/>
          <w:szCs w:val="28"/>
        </w:rPr>
        <w:t>балла</w:t>
      </w:r>
      <w:r>
        <w:rPr>
          <w:rFonts w:ascii="Calibri" w:hAnsi="Calibri" w:cs="Calibri"/>
          <w:sz w:val="28"/>
          <w:szCs w:val="28"/>
        </w:rPr>
        <w:t xml:space="preserve">), 1 </w:t>
      </w:r>
      <w:r>
        <w:rPr>
          <w:rFonts w:ascii="Times New Roman CYR" w:hAnsi="Times New Roman CYR" w:cs="Times New Roman CYR"/>
          <w:sz w:val="28"/>
          <w:szCs w:val="28"/>
        </w:rPr>
        <w:t>человек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физике</w:t>
      </w:r>
      <w:r>
        <w:rPr>
          <w:rFonts w:ascii="Calibri" w:hAnsi="Calibri" w:cs="Calibri"/>
          <w:sz w:val="28"/>
          <w:szCs w:val="28"/>
        </w:rPr>
        <w:t xml:space="preserve"> (92 </w:t>
      </w:r>
      <w:r>
        <w:rPr>
          <w:rFonts w:ascii="Times New Roman CYR" w:hAnsi="Times New Roman CYR" w:cs="Times New Roman CYR"/>
          <w:sz w:val="28"/>
          <w:szCs w:val="28"/>
        </w:rPr>
        <w:t>балла</w:t>
      </w:r>
      <w:r>
        <w:rPr>
          <w:rFonts w:ascii="Calibri" w:hAnsi="Calibri" w:cs="Calibri"/>
          <w:sz w:val="28"/>
          <w:szCs w:val="28"/>
        </w:rPr>
        <w:t xml:space="preserve">), 1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биологии</w:t>
      </w:r>
      <w:r>
        <w:rPr>
          <w:rFonts w:ascii="Calibri" w:hAnsi="Calibri" w:cs="Calibri"/>
          <w:sz w:val="28"/>
          <w:szCs w:val="28"/>
        </w:rPr>
        <w:t xml:space="preserve"> (95 </w:t>
      </w:r>
      <w:r>
        <w:rPr>
          <w:rFonts w:ascii="Times New Roman CYR" w:hAnsi="Times New Roman CYR" w:cs="Times New Roman CYR"/>
          <w:sz w:val="28"/>
          <w:szCs w:val="28"/>
        </w:rPr>
        <w:t>баллов</w:t>
      </w:r>
      <w:r>
        <w:rPr>
          <w:rFonts w:ascii="Calibri" w:hAnsi="Calibri" w:cs="Calibri"/>
          <w:sz w:val="28"/>
          <w:szCs w:val="28"/>
        </w:rPr>
        <w:t>).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Без неудовлетворительных результатов сданы экзамены по русскому языку, биологии, химии, информатике, литературе.</w:t>
      </w:r>
    </w:p>
    <w:p w:rsidR="0044208C" w:rsidRDefault="0044208C" w:rsidP="004420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Учреждение дополнительного образования станцию юных техников посещали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880 детей, что составило 43,9% от числа детей школьного возраста (в 2014 году - 880 детей, 45,5%). Образовательные программы по техническому,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естественно-научному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туристско-краеведческому, социально-педагогическому, физкультурно-спортивному направлениям способствуют развитию исследовательских, проектных, инженерно-конструкторских навыков и формированию коммуникативных, презентационных компетентностей.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творческих объединениях школ обучается 75% детей, в секциях физкультурно-спортивных клубов занимаются более 400 учащихся. 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Растёт   количество детей, участвующих в мероприятиях краевого,  муниципального уровней. Школьники принимают участие в интенсивных школах интеллектуального и технического роста, форумах, соревнованиях, конкурсах как очно, так  и дистанционно.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 xml:space="preserve">Охват детей разными формами работы составляет 83,5% (в 2014 году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77</w:t>
      </w:r>
      <w:r>
        <w:rPr>
          <w:rFonts w:ascii="Times New Roman CYR" w:hAnsi="Times New Roman CYR" w:cs="Times New Roman CYR"/>
          <w:sz w:val="28"/>
          <w:szCs w:val="28"/>
        </w:rPr>
        <w:t>%), более 20% из них становятся победителями и призёрами различных конкурсов.</w:t>
      </w:r>
    </w:p>
    <w:p w:rsidR="0044208C" w:rsidRDefault="0044208C" w:rsidP="0044208C">
      <w:pPr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 2015 году в учреждении дополнительного образования выполнены ремонтные работы на сумму  1 168, 4711 тыс.  рублей (укрепление цоколя, ремонт водостоков, фасада,  асфальтирование).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  2015 году были организованы лагеря дневного пребывания при школах, где в июне отдохнули 621 человек; проведены 4 оздоровительных сезона в загородном лагере «Шахтёр».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выпускников муниципальных общеобразовательных учреждений, сдавших единый государственный экзамен (ЕГЭ)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выпускников, сдавших единый государственный экзамен по русскому языку и математике, составила 99,15%.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в 2015  году равна нулю.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Степень соответствия общеобразовательных школ современным требованиям составляет 82,09%. 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Здания двух муниципальных общеобразовательных учреждений требую</w:t>
      </w:r>
      <w:r w:rsidR="00F32283">
        <w:rPr>
          <w:rFonts w:ascii="Times New Roman CYR" w:hAnsi="Times New Roman CYR" w:cs="Times New Roman CYR"/>
          <w:sz w:val="28"/>
          <w:szCs w:val="28"/>
        </w:rPr>
        <w:t>т капитального ремонта (66,67%) (2 школы).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детей первой и второй групп здоровья в общей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численности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P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Доля детей первой и второй групп здоровья в общей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численности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обучающихся в муниципальных общеобразовательных учреждениях составила в 2015 году 78,7%.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численности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Все дети обучаются в первую смену.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44208C" w:rsidRDefault="0044208C" w:rsidP="0044208C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4208C" w:rsidRDefault="0044208C" w:rsidP="0044208C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Согласно отчетам исполнения планов финансово-хозяйственной деятельности школ за 2015 год расходы бюджета муниципального образования на общее образование в расчете на 1 обучающегося в муниципальных образовательных учреждениях  в 2015 году составили 51,87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(в 2014 г. – 47,20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тыс.руб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.)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Общий охват детей в возрасте 5-18 лет дополнительным образованием в 2015 году (УДОД и СОШ) составил  95,2%.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Культура</w:t>
      </w:r>
    </w:p>
    <w:p w:rsidR="0044208C" w:rsidRDefault="0044208C" w:rsidP="004420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 Бородино обладает богатым культурным потенциалом, обеспечивающим населению широкий доступ к культурным ценностям, информации и знаниям. Деятельность учреждений культуры и образовательных учреждений в области культуры города Бородино направлена на создание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условий, обеспечивающих равный доступ населения к высококачественным культурным благам и услугам и формирующих благоприятную культурную среду для  творческой самореализации граждан.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Удельный вес населения, участвующего       в платных культурно-досуговых мероприятиях, проводимых муниципальными учреждениями культуры,  составляет  в 2015 году 136,0 %.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Поддержке традиционных форм народного художественного творчества в  городе способствует проведение фестивалей, конкурсов, выставок декоративно-прикладного искусства, мастер-классов, творческих мастерских. 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31"/>
          <w:szCs w:val="31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Важную роль в сохранении культурного наследия играют библиотеки   и музей, в которых собраны образцы    федеральной, краевой и местной материальной и духовной культуры. Вместе с тем, имеющиеся ресурсы  общедоступных библиотек города, не в полной мере соответствуют информационным и культурным запросам пользователей.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Музеи истории города Бородино ведет активную просветительскую работу с населением различных возрастных групп.   В числе основных проблем музея следует назвать недостаточность экспозиционно-выставочных площадей и площадей под хранение фондов, недостаточность  средств на комплектование фондов и реставрационные работы,</w:t>
      </w:r>
      <w:r>
        <w:rPr>
          <w:rFonts w:ascii="Times New Roman CYR" w:hAnsi="Times New Roman CYR" w:cs="Times New Roman CYR"/>
          <w:color w:val="00B0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музейное оборудование.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Доля представленных (во всех формах) зрителю музейных  предметов в общем количестве музейных предметов основного фонда составляет – 41,7%.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Наиболее массовыми учреждениями культуры, обеспечивающими досуг населения, условия для развития народного творчества и самодеятельного искусства, социально-культурных инициатив населения,</w:t>
      </w:r>
      <w:r>
        <w:rPr>
          <w:rFonts w:ascii="Times New Roman CYR" w:hAnsi="Times New Roman CYR" w:cs="Times New Roman CYR"/>
          <w:sz w:val="31"/>
          <w:szCs w:val="31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являются учреждения культурно-досугового типа. Число участников клубных формирований на 1 тыс. человек населения составляет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70,4 человек.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территории Бородино проводятся такие мероприятия</w:t>
      </w:r>
      <w:r>
        <w:rPr>
          <w:rFonts w:ascii="Times New Roman CYR" w:hAnsi="Times New Roman CYR" w:cs="Times New Roman CYR"/>
          <w:sz w:val="28"/>
          <w:szCs w:val="28"/>
        </w:rPr>
        <w:t xml:space="preserve">, как фестиваль исторического моделирования «Бородинское поле – связь времен» с участием творческих коллективов Красноярского края, патриотический фестиваль «От росинки до звезды», раз в три года проходят   зональные фестивали – конкурсы: «Огни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КАТЭКа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 «У  лиры семь струн». Творческие коллективы города успешно гастролируют и участвуют в краевых и российских  фестивалях и конкурсах.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Вместе с тем недостаточность финансирования  культурных  проектов препятствует полноценному включению города в общероссийский и мировой культурный процесс.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Восполнение и развитие кадрового ресурса отрасли, обеспечение прав граждан на образование является одним из приоритетных направлений культурной политики муниципалитета. Формирующаяся 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хореографического  искусства. Число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учащихся детской школы иску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сств к 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исленности учащихся общеобразовательных школ в городе (процент охвата) в 2015 году составляет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8,6 %. 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числе основных задач остается подготовка и переподготовка специалистов для отрасли, повышения их квалификации. В 2015 году  повысили свой квалификационный уровень 26 специалиста учреждений культуры. Формируются заявки на выплату денежного  поощрения лучшим творческим работникам в области культуры, талантливой молодежи, осуществляется перевод на новую систему оплаты труда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.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то же время серьезной проблемой продолжает оставаться дефицит кадров, что обусловлено низкой заработной платой и социальной незащищенностью творческих работников и работников культуры.  Несоответствие кадрового потенциала уровню возникающих проблем                     в отрасли приводит к низкому уровню развития инновационной                                и экспериментальной деятельности, слабому учету учреждениями культуры актуальных социально-культурных процессов, досуговых предпочтений                   и ценностных ориентаций различных категорий населения.</w:t>
      </w:r>
    </w:p>
    <w:p w:rsidR="0044208C" w:rsidRDefault="0044208C" w:rsidP="004420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Низкие темпы развития информационно-коммуникационной инфраструктуры в отрасли не позволяют обеспечить внедрение электронных услуг, новых информационных технологий, способствующих развитию выставочной, культурно-просветительной, образовательной, культурно-досуговой деятельности.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целях преодоления сложившихся в сфере культуры  города противоречий,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города Бородино в крае  и  стране, исходя из критериев наиболее полного удовлетворения потребностей населения, сохранения и приумножения культурного потенциала края. </w:t>
      </w:r>
      <w:proofErr w:type="gramEnd"/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Уровень фактической обеспеченности учреждениями культуры от нормативной потребности: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Сеть муниципальных учреждений культуры города Бородино представлена централизованной библиотечной системой, объединяющей 2 библиотеки и 1 филиал, городским Дворцом культуры «Угольщик», музеем истории города Бородино, Детской школы искусств, городским Домом ремёсел.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Обеспеченность жителей города услугами учреждений культуры и образовательных учреждений в области культуры не в полной мере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соответствует нормативам, рекомендованным распоряжением Правительства Российской Федерации от 03.07.1996 № 1063-р.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клубами и учреждениями клубного типа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Arial CYR" w:hAnsi="Arial CYR" w:cs="Arial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Уровень обеспеченности клубами и учреждениями клубного типа на 2015 год составляет - 60,94%; прогноз 2016 год – 61,40%; 2017 год – 61,88%; 2018 год – 62,39%;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библиотеками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P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Обеспеченность населения города библиотеками  в 2015 году составляет – 100,0 % 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парками культуры и отдыха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Парков культуры и отдыха в городе нет.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Arial CYR" w:hAnsi="Arial CYR" w:cs="Arial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Здания трех учреждений культуры (МКУК "ЦБС", МБУК ГДК "Угольщик", МБУК "ГДР") требуют капитального ремонта. Их доля в общем количестве муниципальных учреждений культуры составила в 2015 г. 50%.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Объектов культурного наследия, находящихся в муниципальной собственности и требующих консервации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реставрациив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городе нет.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Физическая культура и спорт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2015 году на физическую культуру и спорт в городе Бородино всего, по различным направлениям, израсходовано 37 004,5 тыс. рублей. </w:t>
      </w:r>
    </w:p>
    <w:p w:rsidR="0044208C" w:rsidRDefault="0044208C" w:rsidP="004420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Основные значимые спортивно-массовые мероприятия отражены в муниципальной программе «Развитие физической культуры и спорта в городе Бородино». </w:t>
      </w:r>
      <w:r>
        <w:rPr>
          <w:rFonts w:ascii="Times New Roman CYR" w:hAnsi="Times New Roman CYR" w:cs="Times New Roman CYR"/>
          <w:sz w:val="28"/>
          <w:szCs w:val="28"/>
        </w:rPr>
        <w:t xml:space="preserve">По программе использовано 24 128,64, из них: ДЮСШ – 19 871,33 тыс. рублей; - ОКСМП и ИО 1 257,31 тыс. рублей. </w:t>
      </w:r>
    </w:p>
    <w:p w:rsidR="0044208C" w:rsidRDefault="0044208C" w:rsidP="004420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Также ДЮСШ получила субсидию из Краевого бюджета в размере 3 000, 00 тыс. тыс. рублей на ремонт лыже-роллерной трассы. </w:t>
      </w:r>
    </w:p>
    <w:p w:rsidR="0044208C" w:rsidRDefault="0044208C" w:rsidP="004420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На заработную плату работников физкультуры и спорта различных ведомств потрачено 19 253,2 тыс. рублей.</w:t>
      </w:r>
    </w:p>
    <w:p w:rsidR="0044208C" w:rsidRDefault="0044208C" w:rsidP="004420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городе действует учреждение дополнительного образования физкультурно-спортивной направленности - Детская Юношеская Спортивная Школа. 520 учащихся обучаются в МОУ  ДОД   ДЮСШ на 5 отделениях: баскетбол, биатлон, борьба дзюдо и самбо, лыжные гонки, футбол.  Лучшие воспитанники Бородинской ДЮСШ входят в состав сборных команд Красноярского края по биатлону, баскетболу, лыжным гонкам, борьбе дзюдо и самбо. Бородинская спортивная школа включает целый комплекс спортивных объектов: спортивный зал, плавательный бассейн, городской стадион и лыжную базу, спортивный комплекс зимних видов спорта.</w:t>
      </w:r>
    </w:p>
    <w:p w:rsidR="0044208C" w:rsidRDefault="0044208C" w:rsidP="004420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Сеть спортивно-оздоровительных объектов города насчитывает 34 спортивных сооружений, 7 физкультурно-спортивных залов, 2 плавательных бассейна, 16 плоскостных спортивных сооружений, тир, зал борьбы, стадион, зал восточных единоборств, тренажерные залы, лыже-роллерная трасса и спортивный комплекс зимних видов спорта.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Фактическая обеспеченность объектами физической культуры и спорта от нормативной потребности составляет: спортивными залами 41,34%, плавательными бассейнами 30,68%, плоскостными спортивными сооружениями  110,89 %.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Единовременная пропускная способность спортивных сооружений 1 153 человека.</w:t>
      </w:r>
    </w:p>
    <w:p w:rsidR="0044208C" w:rsidRDefault="0044208C" w:rsidP="0044208C">
      <w:pPr>
        <w:shd w:val="clear" w:color="auto" w:fill="FFFFFF"/>
        <w:autoSpaceDE w:val="0"/>
        <w:autoSpaceDN w:val="0"/>
        <w:adjustRightInd w:val="0"/>
        <w:spacing w:after="0"/>
        <w:ind w:right="181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постоянном контроле у Главы города вопросы по   развитию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физкультурно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оздоровительной и спортивно-массовой работы в городе, участие и достойное выступление бородинских спортсменов на краевых и Российских соревнованиях. </w:t>
      </w:r>
    </w:p>
    <w:p w:rsidR="0044208C" w:rsidRDefault="0044208C" w:rsidP="004420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городе проводятся зональные, региональные и краевые соревнования по лыжным гонкам, футболу, баскетболу, шахматам, волейболу, борьбе дзюдо. Ежегодно формируется календарь спортивно-массовых мероприятий. </w:t>
      </w:r>
    </w:p>
    <w:p w:rsidR="0044208C" w:rsidRDefault="0044208C" w:rsidP="0044208C">
      <w:pPr>
        <w:shd w:val="clear" w:color="auto" w:fill="FFFFFF"/>
        <w:autoSpaceDE w:val="0"/>
        <w:autoSpaceDN w:val="0"/>
        <w:adjustRightInd w:val="0"/>
        <w:spacing w:after="0"/>
        <w:ind w:right="1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течение 2015 года проведено более 45 спортивно-массовых мероприятий, в которых приняли участие свыше 4 тысяч человек. Наиболее массовые из них:  «Кросс нации», «Лыжня России», городская спартакиада  трудящихся, спортивные праздники, посвященные Дню Победы, Дню города, Дню шахтера, Дню молодежи. Более  800  бородинских спортсменов  в 2014 году приняли участие в 40  федеральных, краевых и межмуниципальных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спортивных мероприятиях. На  эти цели было направлено более 867,00 тыс. рублей.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</w:t>
      </w:r>
    </w:p>
    <w:p w:rsidR="0044208C" w:rsidRDefault="0044208C" w:rsidP="004420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 городе действуют 3 физкультурно-спортивных клуба по месту жительства, созданных в 2011 году в рамках краевой программы «От массовости - к мастерству».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 В  них   занимаются 273 человека, что составляет 7,26% от числа систематически занимающихся физической культурой и спортом жителей города.   </w:t>
      </w:r>
    </w:p>
    <w:p w:rsidR="0044208C" w:rsidRDefault="0044208C" w:rsidP="004420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2015 году совместно с Центром социальной защиты продолжена работа   по активизации физкультурно-оздоровительной деятельности среди инвалидов.   Совместно со спортивно-оздоровительным клубом по месту жительства «Сила поколения»  проводятся занятия на  приобретенном специализированном оборудовании и тренажерах.   </w:t>
      </w:r>
    </w:p>
    <w:p w:rsidR="0044208C" w:rsidRDefault="0044208C" w:rsidP="0044208C">
      <w:pPr>
        <w:shd w:val="clear" w:color="auto" w:fill="FFFFFF"/>
        <w:autoSpaceDE w:val="0"/>
        <w:autoSpaceDN w:val="0"/>
        <w:adjustRightInd w:val="0"/>
        <w:spacing w:after="0"/>
        <w:ind w:right="1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летний период действует утвержденная главой города программа «Организация занятости детей и подростов  различными формами физкультурно-оздоровительной и спортивной деятельности». Благодаря проведенной работе, в течение летнего периода, различными формами физкультурно-оздоровительной деятельности было охвачено более 1 300 детей и подростков. </w:t>
      </w:r>
    </w:p>
    <w:p w:rsidR="0044208C" w:rsidRDefault="0044208C" w:rsidP="004420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общеобразовательных  школах, детских садах, ДЮСШ, в учреждениях дополнительного образования, работают профессиональные тренеры и педагогии. На базах школ функционируют спортивные клубы, которые занимаются организацией физкультурно-оздоровительной работы с учащимися и родителями. В кружках спортивной направленности  в МОУ  ДОД « Станция юных техников» занимаются 39 учащихся.</w:t>
      </w:r>
    </w:p>
    <w:p w:rsidR="0044208C" w:rsidRDefault="0044208C" w:rsidP="004420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Важным достижением  завершение строительства в 2015году в городе Бородино Центра зимних видов спорта.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числе проблем, которые необходимо решать: ремонт  единственного в округе плавательного бассейна; оборудование искусственного покрытия на футбольном поле и в хоккейной коробке стадиона.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населения, систематически занимающегося физической культурой и спортом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Численность населения, систематически занимающихся физической культурой и спортом,  в 2015 году  составила 4 003 человека, это  26,40% от численности  населения города в возрасте от 3 до 79 лет.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      В прогнозируемом периоде численность населения, систематически занимающегося физической культурой и спортом, в 2016 году составит – 28,47%,  а  в 2018 году  – 30,65%  </w:t>
      </w:r>
      <w:r>
        <w:rPr>
          <w:rFonts w:ascii="Times New Roman CYR" w:hAnsi="Times New Roman CYR" w:cs="Times New Roman CYR"/>
          <w:sz w:val="28"/>
          <w:szCs w:val="28"/>
        </w:rPr>
        <w:t>от численности  населения города в возрасте от 3 до 79 лет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23.1.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Численность учащихся,  </w:t>
      </w:r>
      <w:r>
        <w:rPr>
          <w:rFonts w:ascii="Times New Roman CYR" w:hAnsi="Times New Roman CYR" w:cs="Times New Roman CYR"/>
          <w:sz w:val="28"/>
          <w:szCs w:val="28"/>
        </w:rPr>
        <w:t>систематически занимающихся физической культурой и спортом,  в 2015 году  составила 1 349 человек,  это  37,75% от численности  населения города в возрасте до 17 лет.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прогнозируемом периоде доля учащихся, систематически занимающихся физической культурой и спортом, в 2016 году составит – 38,20%,  а  в 2018 году  – 38,98%  </w:t>
      </w:r>
      <w:r>
        <w:rPr>
          <w:rFonts w:ascii="Times New Roman CYR" w:hAnsi="Times New Roman CYR" w:cs="Times New Roman CYR"/>
          <w:sz w:val="28"/>
          <w:szCs w:val="28"/>
        </w:rPr>
        <w:t>от численности  населения города в возрасте до 17 лет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Жилищное строительство и обеспечение граждан жильем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строящихся объектов по городу Бородино,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 начала 2015 года</w:t>
      </w:r>
      <w:r>
        <w:rPr>
          <w:rFonts w:ascii="Times New Roman CYR" w:hAnsi="Times New Roman CYR" w:cs="Times New Roman CYR"/>
          <w:sz w:val="28"/>
          <w:szCs w:val="28"/>
        </w:rPr>
        <w:t xml:space="preserve"> на отчетную дату составляет, всего –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282 в</w:t>
      </w:r>
      <w:r>
        <w:rPr>
          <w:rFonts w:ascii="Times New Roman CYR" w:hAnsi="Times New Roman CYR" w:cs="Times New Roman CYR"/>
          <w:sz w:val="28"/>
          <w:szCs w:val="28"/>
        </w:rPr>
        <w:t xml:space="preserve"> том числе: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254</w:t>
      </w:r>
      <w:r>
        <w:rPr>
          <w:rFonts w:ascii="Times New Roman CYR" w:hAnsi="Times New Roman CYR" w:cs="Times New Roman CYR"/>
          <w:sz w:val="28"/>
          <w:szCs w:val="28"/>
        </w:rPr>
        <w:t xml:space="preserve"> объекта индивидуального жилищного строительства;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-  8  объектов многоквартирных жилых домов (в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т.ч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бъеков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реконструкции);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15 </w:t>
      </w:r>
      <w:r>
        <w:rPr>
          <w:rFonts w:ascii="Times New Roman CYR" w:hAnsi="Times New Roman CYR" w:cs="Times New Roman CYR"/>
          <w:sz w:val="28"/>
          <w:szCs w:val="28"/>
        </w:rPr>
        <w:t>объектов гражданского назначения;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5  </w:t>
      </w:r>
      <w:r>
        <w:rPr>
          <w:rFonts w:ascii="Times New Roman CYR" w:hAnsi="Times New Roman CYR" w:cs="Times New Roman CYR"/>
          <w:sz w:val="28"/>
          <w:szCs w:val="28"/>
        </w:rPr>
        <w:t>объектов производственного назначения;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За отчетный период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2015 </w:t>
      </w:r>
      <w:r>
        <w:rPr>
          <w:rFonts w:ascii="Times New Roman CYR" w:hAnsi="Times New Roman CYR" w:cs="Times New Roman CYR"/>
          <w:sz w:val="28"/>
          <w:szCs w:val="28"/>
        </w:rPr>
        <w:t xml:space="preserve">года  количество введенных в эксплуатацию  объектов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11,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из них: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5 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объектов гражданского назначения (магазины);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производственного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назнаения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объектов жилищного назначения.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Ввод жилья  с начала 2015 года</w:t>
      </w:r>
      <w:r>
        <w:rPr>
          <w:rFonts w:ascii="Times New Roman CYR" w:hAnsi="Times New Roman CYR" w:cs="Times New Roman CYR"/>
          <w:sz w:val="28"/>
          <w:szCs w:val="28"/>
        </w:rPr>
        <w:t xml:space="preserve"> на отчетную дату  составляет –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4061,4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 в том числе: </w:t>
      </w:r>
      <w:r>
        <w:rPr>
          <w:rFonts w:ascii="Times New Roman CYR" w:hAnsi="Times New Roman CYR" w:cs="Times New Roman CYR"/>
          <w:sz w:val="28"/>
          <w:szCs w:val="28"/>
        </w:rPr>
        <w:t>1-квартира реконструкция), площадью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14,5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>Количество выданных разрешений на  строительство: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всего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95,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них: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85 </w:t>
      </w:r>
      <w:r>
        <w:rPr>
          <w:rFonts w:ascii="Times New Roman CYR" w:hAnsi="Times New Roman CYR" w:cs="Times New Roman CYR"/>
          <w:sz w:val="28"/>
          <w:szCs w:val="28"/>
        </w:rPr>
        <w:t>разрешений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по объектам индивидуального жилищного строительства;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разрешений – по многоквартирным жилым домам;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разрешения по объектам гражданского назначения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магазины;  офисы);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 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разрешений на объект производственного назначения;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44208C" w:rsidRDefault="0044208C" w:rsidP="0044208C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В границах спроектированного земельного участка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микрорайоне «Северный» продолжается выделение земельных участков</w:t>
      </w:r>
      <w:r>
        <w:rPr>
          <w:rFonts w:ascii="Times New Roman CYR" w:hAnsi="Times New Roman CYR" w:cs="Times New Roman CYR"/>
          <w:sz w:val="28"/>
          <w:szCs w:val="28"/>
        </w:rPr>
        <w:t xml:space="preserve"> под строительство индивидуальных жилых домов, площадь каждого земельного участка 1000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., в том числе многодетным семьям, а также земельные участки для малоэтажной многоквартирной жилой застройки, детский сад на 190 мест, магазин.</w:t>
      </w:r>
    </w:p>
    <w:p w:rsidR="0044208C" w:rsidRDefault="0044208C" w:rsidP="0044208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Предоставление земельных участков многодетным семьям, в соответствии с регистром многодетных семей, состоящих на учете для предоставления им на безвозмездной основе земельных участков, будет приоритетным в микрорайоне «Северный».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Общая площадь жилых помещений, приходящаяся в среднем на одного жителя всего, в том числе введенная в действие за один год</w:t>
      </w:r>
    </w:p>
    <w:p w:rsidR="0044208C" w:rsidRDefault="0044208C" w:rsidP="0044208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Общая площадь жилых помещений, приходящаяся в среднем на одного жителя по форме федерального статистического наблюдения №1-жилфонд, в 2015 году составила 26,7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(в 2014 г. – 26,3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том числе площадь жилых помещений, введенная в действие за один год, согласно формы федерального статистического наблюдения №С-1, №1-ИЖС, в 2015 году составила 0,23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proofErr w:type="gramStart"/>
      <w:r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2014 - 0,21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.).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2015 году в рамках муниципальной адресной программы "Переселение граждан из аварийного жилищного фонда в городе Бородино с учетом необходимости развития малоэтажного жилищного строительства"  введен в эксплуатацию 3-х этажный 27-ми квартирный жилой дом №51 по ул. Советская, в который 10 сентября 2015 года переселено 70 человек, проживавших в помещениях, признанных в установленном порядке аварийными.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Ликвидировано 1017,2 м</w:t>
      </w:r>
      <w:proofErr w:type="gramStart"/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жилых помещений аварийного жилищного фонда.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85"/>
        <w:gridCol w:w="1203"/>
        <w:gridCol w:w="1134"/>
        <w:gridCol w:w="1134"/>
      </w:tblGrid>
      <w:tr w:rsidR="0044208C" w:rsidTr="0044208C">
        <w:tc>
          <w:tcPr>
            <w:tcW w:w="759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Ввод жилья,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етров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4208C" w:rsidTr="0044208C">
        <w:trPr>
          <w:trHeight w:val="372"/>
        </w:trPr>
        <w:tc>
          <w:tcPr>
            <w:tcW w:w="40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Введено всего,</w:t>
            </w:r>
          </w:p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 том числе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</w:t>
            </w:r>
          </w:p>
        </w:tc>
      </w:tr>
      <w:tr w:rsidR="0044208C" w:rsidTr="0044208C">
        <w:trPr>
          <w:trHeight w:val="405"/>
        </w:trPr>
        <w:tc>
          <w:tcPr>
            <w:tcW w:w="40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3692,0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1700,00</w:t>
            </w:r>
          </w:p>
        </w:tc>
      </w:tr>
      <w:tr w:rsidR="0044208C" w:rsidTr="0044208C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индивидуальное жилищное строительства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282,9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44208C" w:rsidTr="0044208C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многоквартирное строительство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2036,9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</w:tr>
    </w:tbl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44208C" w:rsidRP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Низкие показатели ввода жилья в плановом периоде обусловлены отсутствием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многокварирного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строительства в плановом периоде 2016-2018 годов. Таким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образом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ввод жилья будет осуществляться только за счет ИЖС.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Площадь земельных участков, предоставленных для строительства, в расчете на 10 тыс. человек населения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Площадь земельных участков предоставленных населению города для строительства в расчете на 10 тыс. населения  всего составила в 2015 году 10,58 га (в 2014 году 11,55 га). </w:t>
      </w:r>
    </w:p>
    <w:p w:rsidR="0044208C" w:rsidRDefault="0044208C" w:rsidP="0044208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том числе для жилищного строительства в 2015 году – 4,40 га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2014 году – 6,31 га.)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97"/>
        <w:gridCol w:w="1185"/>
        <w:gridCol w:w="1045"/>
        <w:gridCol w:w="938"/>
        <w:gridCol w:w="938"/>
      </w:tblGrid>
      <w:tr w:rsidR="0044208C" w:rsidTr="0044208C">
        <w:tc>
          <w:tcPr>
            <w:tcW w:w="868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Площадь предоставленных земельных участков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4208C" w:rsidTr="0044208C">
        <w:trPr>
          <w:trHeight w:val="645"/>
        </w:trPr>
        <w:tc>
          <w:tcPr>
            <w:tcW w:w="42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Площадь земельных участков (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), предоставленных для строительства, всего:</w:t>
            </w:r>
          </w:p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</w:t>
            </w:r>
          </w:p>
        </w:tc>
      </w:tr>
      <w:tr w:rsidR="0044208C" w:rsidTr="0044208C">
        <w:trPr>
          <w:trHeight w:val="645"/>
        </w:trPr>
        <w:tc>
          <w:tcPr>
            <w:tcW w:w="42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18,9718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17,2292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2,0</w:t>
            </w:r>
          </w:p>
        </w:tc>
      </w:tr>
      <w:tr w:rsidR="0044208C" w:rsidTr="0044208C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жилищного строительства </w:t>
            </w:r>
          </w:p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(в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для ИЖС)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10,3615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7,1686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1,0</w:t>
            </w:r>
          </w:p>
        </w:tc>
      </w:tr>
      <w:tr w:rsidR="0044208C" w:rsidTr="0044208C">
        <w:trPr>
          <w:trHeight w:val="66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комплексного освоения в целях жилищного строительства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</w:tr>
      <w:tr w:rsidR="0044208C" w:rsidTr="0044208C">
        <w:trPr>
          <w:trHeight w:val="91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строительства объектов, не являющихся объектами жилищного строительства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8,6103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10,0606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1,0</w:t>
            </w:r>
          </w:p>
        </w:tc>
      </w:tr>
    </w:tbl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2014-2015 годах в границах спроектированного земельного участка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микрорайоне «Северный» производилось выделение земельных участков</w:t>
      </w:r>
      <w:r>
        <w:rPr>
          <w:rFonts w:ascii="Times New Roman CYR" w:hAnsi="Times New Roman CYR" w:cs="Times New Roman CYR"/>
          <w:sz w:val="28"/>
          <w:szCs w:val="28"/>
        </w:rPr>
        <w:t xml:space="preserve"> под строительство индивидуальных жилых домов, в планируемом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переоде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не предусмотрена разработка новых земельных участков в черте города, в связи с этим происходит уменьшение площади земельных участков, предоставляемых для строительства.</w:t>
      </w:r>
      <w:proofErr w:type="gramEnd"/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Площадь земельных участков, предоставленных для строительства, в отношении которых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 даты принятия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4208C" w:rsidRP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Земельных участков, предоставленных для строительства, в отношении которых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принятия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получено разрешение на ввод в эксплуатацию в муниципальном образовании нет.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объектов жилищного строительства - в течение 3 лет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Объектов жилищного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строительства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 отношении которых с даты принятия решения о предоставлении или подписания протокола о результатах торгов (конкурсов, аукционов) не было получено разрешение на ввод в эксплуатацию в течение 3 лет в городе нет.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26.2.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иных объектов капитального строительства - в течение 5 лет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Иных объектов капитального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строительства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 отношении которых с даты принятия решения о предоставлении или подписания протокола о результатах торгов (конкурсов, аукционов) не было получено разрешение на ввод в эксплуатацию в течение 5 лет в городе нет.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Жилищно-коммунальное хозяйство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4208C" w:rsidRDefault="0044208C" w:rsidP="004420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Стратегической задачей на ближайшие годы для города является совершенствование работы жилищно-коммунальной системы и реформа управления жилищным фондом.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Жилищно-коммунальное хозяйство города представляют предприятия ООО «Строительная компания», ООО «Ваш управдом», ООО «УК Строй Ком», ООО «Идиллия», ООО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Агропромкомплект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».</w:t>
      </w:r>
      <w:proofErr w:type="gramEnd"/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4208C" w:rsidRDefault="0044208C" w:rsidP="0044208C">
      <w:pPr>
        <w:suppressAutoHyphens/>
        <w:autoSpaceDE w:val="0"/>
        <w:autoSpaceDN w:val="0"/>
        <w:adjustRightInd w:val="0"/>
        <w:spacing w:after="0" w:line="240" w:lineRule="auto"/>
        <w:ind w:right="-5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в  2012 году – 100%, в 2013 году – 100 %, в 2014 году - 100 %, в отчетном периоде 2015 года – 100,00 %. В прогнозируемом периоде на 2016 – 2018 года 100%. </w:t>
      </w:r>
      <w:proofErr w:type="gramEnd"/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осуществляющих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свою деятельность на территории городского округа (муниципального района)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4208C" w:rsidRDefault="0044208C" w:rsidP="0044208C">
      <w:pPr>
        <w:suppressAutoHyphens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территории города выполняются все условия 185-ФЗ от 21 июля 2007 г. «О Фонде содействия реформированию жилищно-коммунального хозяйства».</w:t>
      </w:r>
    </w:p>
    <w:p w:rsidR="0044208C" w:rsidRDefault="0044208C" w:rsidP="0044208C">
      <w:pPr>
        <w:suppressAutoHyphens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Управление многоквартирными домами на территории города осуществляют управляющие компании: ООО «Ваш управдом», ООО «Идиллия», ООО «УК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СтройКом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». </w:t>
      </w:r>
    </w:p>
    <w:p w:rsidR="0044208C" w:rsidRDefault="0044208C" w:rsidP="0044208C">
      <w:pPr>
        <w:suppressAutoHyphens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Тепловодоснабжение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а также водоотведение и очистка сточных вод предприятий и населения города осуществляется ООО «Строительная компания».</w:t>
      </w:r>
    </w:p>
    <w:p w:rsidR="0044208C" w:rsidRDefault="0044208C" w:rsidP="0044208C">
      <w:pPr>
        <w:suppressAutoHyphens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Электроснабжение - ООО «Красноярская региональная энергетическая компания». </w:t>
      </w:r>
    </w:p>
    <w:p w:rsidR="0044208C" w:rsidRDefault="0044208C" w:rsidP="0044208C">
      <w:pPr>
        <w:suppressAutoHyphens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ООО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Агропромкомплект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 предоставляет на территории города услуги по утилизации (захоронению) твердых бытовых отходов.</w:t>
      </w:r>
    </w:p>
    <w:p w:rsidR="0044208C" w:rsidRDefault="0044208C" w:rsidP="0044208C">
      <w:pPr>
        <w:suppressAutoHyphens/>
        <w:autoSpaceDE w:val="0"/>
        <w:autoSpaceDN w:val="0"/>
        <w:adjustRightInd w:val="0"/>
        <w:spacing w:after="0" w:line="240" w:lineRule="auto"/>
        <w:ind w:right="-5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Данные организации  являются монополистами на рынке ОКК, осуществляющих производство товаров, оказание услуг по водо-, тепло-,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общемчисле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организаций коммунального комплекса, осуществляющих свою деятельность на территории города Бородино.</w:t>
      </w:r>
    </w:p>
    <w:p w:rsidR="0044208C" w:rsidRDefault="0044208C" w:rsidP="0044208C">
      <w:pPr>
        <w:suppressAutoHyphens/>
        <w:autoSpaceDE w:val="0"/>
        <w:autoSpaceDN w:val="0"/>
        <w:adjustRightInd w:val="0"/>
        <w:spacing w:after="0" w:line="240" w:lineRule="auto"/>
        <w:ind w:right="-5" w:firstLine="9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связи с этим, показатель Доклада по всем годам составляет 100%.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29.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4208C" w:rsidRP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итогам 2015 года 100% многоквартирных домов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расположены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участках, в отношении которых осуществлен государственный кадастровый учет.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30.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Доля  населения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помещениях: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"/>
        <w:gridCol w:w="4051"/>
        <w:gridCol w:w="1134"/>
        <w:gridCol w:w="1149"/>
        <w:gridCol w:w="1119"/>
        <w:gridCol w:w="1134"/>
        <w:gridCol w:w="1134"/>
      </w:tblGrid>
      <w:tr w:rsidR="0044208C" w:rsidTr="0044208C">
        <w:trPr>
          <w:jc w:val="center"/>
        </w:trPr>
        <w:tc>
          <w:tcPr>
            <w:tcW w:w="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</w:t>
            </w:r>
          </w:p>
        </w:tc>
      </w:tr>
      <w:tr w:rsidR="0044208C" w:rsidTr="0044208C">
        <w:trPr>
          <w:jc w:val="center"/>
        </w:trPr>
        <w:tc>
          <w:tcPr>
            <w:tcW w:w="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1=2/3*100</w:t>
            </w:r>
          </w:p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1=2/3*100</w:t>
            </w:r>
          </w:p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6,59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1=2/3*100</w:t>
            </w:r>
          </w:p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1=2/3*100</w:t>
            </w:r>
          </w:p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1=2/3*100</w:t>
            </w:r>
          </w:p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0,51</w:t>
            </w:r>
          </w:p>
        </w:tc>
      </w:tr>
      <w:tr w:rsidR="0044208C" w:rsidTr="0044208C">
        <w:trPr>
          <w:trHeight w:val="720"/>
          <w:jc w:val="center"/>
        </w:trPr>
        <w:tc>
          <w:tcPr>
            <w:tcW w:w="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численность населения (семей), получившего жилые помещения и улучшившего жилищные условия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 договору социального найма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отчетном году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44208C" w:rsidTr="0044208C">
        <w:trPr>
          <w:jc w:val="center"/>
        </w:trPr>
        <w:tc>
          <w:tcPr>
            <w:tcW w:w="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численность населения (семей), состоящего на учете в качестве нуждающегося в жилых помещениях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 договорам социального найма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 конец прошлого года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/>
              <w:ind w:right="5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389</w:t>
            </w:r>
          </w:p>
        </w:tc>
      </w:tr>
    </w:tbl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44208C" w:rsidRP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2015 году в рамках муниципальной адресной программы "Переселение граждан из аварийного жилищного фонда в городе Бородино с учетом необходимости развития малоэтажного жилищного строительства" был сдан в эксплуатацию 27-ми квартирный жилой дом. Жилые помещения предоставлены по договорам социального найма. Низкие показатели в плановом периоде обусловлены отсутствием текущего строительства и свободного муниципального жилищного фонда.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Организация муниципального управления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задачами органов местного самоуправления являются эффективное управление финансовыми ресурсами местных бюджетов и обеспечение сбалансированности расходных и доходных полномочий.   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Бюджет города Бородино по доходам исполнен на 95,2%,  при уточненном плане 555 973 тыс. рублей, исполнение составило 529 613 тыс. рублей.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 источниками доходной части бюджета являются: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налог на прибыль организаций, при уточненном плане 37 300 тыс. рублей исполнение составило 44 171 тыс. рублей,  или 118,4 %. К собственным доходам исполнение составило 13,0 %.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налог на доходы физических лиц, при уточненном плане 65 970 тыс. рублей, исполнение составило 69 310 тыс. рублей, или на 105,1 %. К собственным доходам исполнение составило 20,4 %.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доходы от использования имущества, находящегося в муниципальной собственности, при уточненном плане 44 610 тыс. рублей, исполнение составило 15 652 тыс. рублей, или на 35,1 %. К собственным доходам исполнение составило 4,6 %.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доходы от продажи материальных и нематериальных активов, при уточненном плане 3 915 тыс. руб., исполнение составило 4 460 тыс. рублей, или на 113,92 %. К собственным доходам исполнение составило 1,3 %.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доходы от налогов на имущество, при уточненном плане 10 263 тыс. руб., исполнение составило 10 163 тыс. рублей, или на 99,0 %. К собственным доходам исполнение составило 3,0 %.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доходы от оказания платных услуг, при уточненном плане 7 677 тыс. рублей, исполнение составило 7 632 тыс. рублей, или на 99,4 %. К собственным доходам исполнение составило 2,2 %.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доходы от налогов на совокупный доход, при уточненном плане 6 908 тыс. рублей, исполнение составило 6 955 тыс. рублей, или на 100,7 %. К собственным доходам исполнение составило 2,0 %.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доходы от уплаты госпошлины, при уточненном плане 2 137 тыс. рублей, исполнение составило 2 280 тыс. рублей, или на 106,7 %. К собственным доходам исполнение составило 0,7 %.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доходы от остальных видов доходов, при уточненном плане 3 599 тыс. рублей, исполнение составило 3 569 тыс. рублей, или на 99,2 %. К собственным доходам исполнение составило 1,0 %.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Безвозмездные поступления  в доходной части бюджета исполнены в сумме 365 420 тыс. рублей,  при уточненном плане 373 593 тыс. рублей. В общем объеме доходов безвозмездные поступления составляют 97,8 %.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Остаток средств на счетах бюджета города Бородино на 01.01.2016 года составил 5 331,8 тыс. руб.: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Наличие остатков целевых средств по субвенциям из краевого бюджета в сумме 2 343,6 тыс. руб.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возвращены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краевой бюджет в 2016 году);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Наличие свободного остатка на 01.01.2016 года в сумме 2 988,2 тыс. руб.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Бюджет города по расходам исполнен на  97,6 %, при уточненном плане  566 666  тыс. рублей, исполнение составило 553 299 тыс. рублей.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разделам исполнение сложилось следующим образом: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942"/>
        <w:gridCol w:w="1730"/>
        <w:gridCol w:w="1537"/>
        <w:gridCol w:w="1623"/>
        <w:gridCol w:w="1300"/>
      </w:tblGrid>
      <w:tr w:rsidR="0044208C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раздела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Уточненный план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% исполнения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% в общем объеме расходов</w:t>
            </w:r>
          </w:p>
        </w:tc>
      </w:tr>
      <w:tr w:rsidR="0044208C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38 344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37 175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96,95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6,7</w:t>
            </w:r>
          </w:p>
        </w:tc>
      </w:tr>
      <w:tr w:rsidR="0044208C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1 934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1 849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0,3</w:t>
            </w:r>
          </w:p>
        </w:tc>
      </w:tr>
      <w:tr w:rsidR="0044208C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20 189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20 180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3,6</w:t>
            </w:r>
          </w:p>
        </w:tc>
      </w:tr>
      <w:tr w:rsidR="0044208C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88 278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80 348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14,5</w:t>
            </w:r>
          </w:p>
        </w:tc>
      </w:tr>
      <w:tr w:rsidR="0044208C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0,06</w:t>
            </w:r>
          </w:p>
        </w:tc>
      </w:tr>
      <w:tr w:rsidR="0044208C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302 477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299 979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99,1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54,2</w:t>
            </w:r>
          </w:p>
        </w:tc>
      </w:tr>
      <w:tr w:rsidR="0044208C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49 400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49 366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8,9</w:t>
            </w:r>
          </w:p>
        </w:tc>
      </w:tr>
      <w:tr w:rsidR="0044208C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Здравоохранение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98,5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0,01</w:t>
            </w:r>
          </w:p>
        </w:tc>
      </w:tr>
      <w:tr w:rsidR="0044208C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55 550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54379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9,8</w:t>
            </w:r>
          </w:p>
        </w:tc>
      </w:tr>
      <w:tr w:rsidR="0044208C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5 727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5 271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0,9</w:t>
            </w:r>
          </w:p>
        </w:tc>
      </w:tr>
      <w:tr w:rsidR="0044208C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2 488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2 488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0,4</w:t>
            </w:r>
          </w:p>
        </w:tc>
      </w:tr>
      <w:tr w:rsidR="0044208C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1 863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1 849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0,3</w:t>
            </w:r>
          </w:p>
        </w:tc>
      </w:tr>
      <w:tr w:rsidR="0044208C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566 666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553 299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208C" w:rsidRDefault="0044208C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Бюджетная политика города ставит вопросы улучшения условий жизни человека, адресного решения социальных проблем, повышения качества муниципальных услуг, а также усиление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использованием бюджетных средств.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Бюджетная политика в 2015 году  не предусматривала прямого увеличения расходов бюджета, связанного с ростом тарифов и цен на товары, работы и услуги. Обеспечение необходимых ресурсов для осуществления своей деятельности всех участников бюджетного процесса реализовано за счет экономии по всем направлениям  бюджетных расходов без снижения объемов  и сохранения качества оказываемых бюджетных услуг: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 ограничены  объемы  потребления энергоресурсов  за счет  проведения мероприятий, направленных на рациональное  их использование (установка счетчиков, утверждение лимитов потребления энергоресурсов</w:t>
      </w:r>
      <w:proofErr w:type="gramEnd"/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обеспечена экономия средств по результатам  проведения конкурсных  процедур по муниципальному заказу.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городе были приняты и реализованы мероприятия, направленные на предотвращение  прироста  задолженности  и сохранения  среднего  уровня  собираемости  налогов и сборов, подлежащих  зачислению в бюджет. 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Также в 2015 году была продолжена работа администрации города с  градообразующим предприятием города ОАО «СУЭК-Красноярск»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увеличению поступлений безвозмездных доходов в бюджет города и реализации  мероприятий. За 2015 год поступило 4 399 тыс. руб.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50" w:firstLine="660"/>
        <w:jc w:val="both"/>
        <w:rPr>
          <w:rFonts w:ascii="Arial CYR" w:hAnsi="Arial CYR" w:cs="Arial CYR"/>
          <w:sz w:val="20"/>
          <w:szCs w:val="20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198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198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составляет 48,26% в 2015 году (в 2014 году 59,8%).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44208C" w:rsidRDefault="0044208C" w:rsidP="0044208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 полной учетной стоимости) в 2015 году равна нулю.</w:t>
      </w:r>
    </w:p>
    <w:p w:rsidR="0044208C" w:rsidRP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По итогам 2015 года, согласно данным Росстата, организаций муниципальной формы собственности, находящихся в стадии банкротства в городе Бородино не зарегистрировано.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Не завершенного в установленные сроки строительства, осуществляемого за счет средств бюджета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г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.Б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ородино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не имеется.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Просроченной кредиторской задолженности по оплате труда (включая начисления на оплату труда) муниципальных бюджетных учреждений в муниципальном образовании нет.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198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198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2015 году составили 1831,0 руб. (в 2014 году 1851 руб.).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документом,  определяющим в интересах жителей города направления и границы территориального развития, функциональное зонирование, застройку и благоустройство территории, сохранение историко-культурного и природного наследия является генеральным план,  утвержденный городским Советом депутатов в 2009 году.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Удовлетворенность населения деятельностью местного самоуправления городского округа (муниципального района)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8C" w:rsidRPr="0044208C" w:rsidRDefault="0044208C" w:rsidP="0044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результатам независимых опросов населения в городских округах и муниципальных районах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Корасноярского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края по уровню удовлетворенности населения деятельностью органов местного самоуправления уровень 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ородино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2015 году составил 46,7%.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Среднегодовая численность постоянного населения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right="198" w:firstLine="567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Среднегодовая численность постоянного населения города в 2015 году составила 16,278 тыс. человек, численность населения на начало года – 16,339 тыс. чел., на конец года - 16,218 тыс. чел. Данные свидетельствуют о постепенном сокращении численности населения.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Демографическая ситуация в городе  непосредственно связана с </w:t>
      </w:r>
      <w:r>
        <w:rPr>
          <w:rFonts w:ascii="Times New Roman CYR" w:hAnsi="Times New Roman CYR" w:cs="Times New Roman CYR"/>
          <w:sz w:val="28"/>
          <w:szCs w:val="28"/>
        </w:rPr>
        <w:t>миграционным оттоком населения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, наличием естественной убыли населения.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Энергосбережение и повышение энергетической эффективности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39.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Удельная величина потребления энергетических ресурсов (электрическая и тепловая энергия, вода, природный газ) в многоквартирных домах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города Бородино в 2015 году в многоквартирных домах проживало 12437 человек на площади 336,6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Отклонения фактических показателей 2015 года от показателей 2014 года объясняется: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стр. 39.1. Незначительное увеличение (на 0,33 кВт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1 проживающего) за счет покупки различной бытовой техники (стиральные машины, посудомоечные машины, дополнительные телевизоры, компьютеры, мобильные телефоны и т.п.);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стр. 39.2. Уменьшение на 0.01 Гкал на 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за счет более теплых погодных условий в текущем отопительном периоде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- 39.3. Повышение на 0.91 куб. м. на 1 проживающего в связи с увеличением нормативов потребления.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- 39.4. Повышение на 1.81 куб. м. на 1 проживающего в связи с увеличением нормативов потребления.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- 39.5. Природный газ в городе Бородино не используется.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40.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4208C" w:rsidRDefault="0044208C" w:rsidP="004420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Удельная величина потребления энергетических ресурсов муниципальными бюджетными учреждениями:</w:t>
      </w:r>
    </w:p>
    <w:p w:rsidR="0044208C" w:rsidRDefault="0044208C" w:rsidP="0044208C">
      <w:pPr>
        <w:suppressAutoHyphens/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электрическая энергия  в 2012 году – 198,22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/ч. на 1 человека населения, в 2013 году – 152,30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/ч. на 1 человека населения, в 2014 году - 157,13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/ч. на 1 человека населения, в отчетном периоде 2015 года – 158,6кВ/ч. на 1 человека населения. Планируемые значения потребления электроэнергии муниципальными бюджетными учреждениями  на 3-х летний период составят: в 2016 году – 159,8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/ч. на 1 человека населения, в 2016 году - 161,05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/ч. на 1 человека населения,  в 2017  году - 162,36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/ч. на 1 человека населения;</w:t>
      </w:r>
    </w:p>
    <w:p w:rsidR="0044208C" w:rsidRDefault="0044208C" w:rsidP="0044208C">
      <w:pPr>
        <w:suppressAutoHyphens/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тепловая энергия в 2012 году – 0,19 Гкал на 1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общей площади, в 2013 году – 0,15 Гкал на 1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общей площади, в 2014 году - 0,16 Гкал на 1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общей площади, в отчетном периоде 2015 года – 0,15 Гкал на 1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общей площади и на плановый период 2016-2018 гг. – 0,16 Гкал на 1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кв.м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 общей площади;</w:t>
      </w:r>
    </w:p>
    <w:p w:rsidR="0044208C" w:rsidRDefault="0044208C" w:rsidP="0044208C">
      <w:pPr>
        <w:suppressAutoHyphens/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 горячая вода  в 2012 году – 1,58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куб.м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1 проживающего, в 2013 году – 1,47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куб.м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1 проживающего, в 2014 году - 1,05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куб.м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1 проживающего, в отчетном периоде 2015 года – 1,06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куб.м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1 проживающего и на плановый период в 2016 - 2017 годах останется без изменений – 1,07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куб.м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на 1 проживающего, в 2018 году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- 1,08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куб.м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на 1 проживающего;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холодная вода  в 2012 году – 2,65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куб.м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1 человека населения, в 2013 году- 1,80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куб.м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1 человека населения, в 2014 году - 1,74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куб.м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1 проживающего, в отчетном периоде 2015 года – 1,75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куб.м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1 человека населения и на плановый период в 2016-2017 годах останется без изменений 1, 77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куб.м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на 1 человека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населения, в 2018 году - 1,78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куб.м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на 1 проживающего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.»).</w:t>
      </w:r>
      <w:proofErr w:type="gramEnd"/>
    </w:p>
    <w:p w:rsidR="0044208C" w:rsidRPr="0044208C" w:rsidRDefault="0044208C" w:rsidP="0044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По показателям  наблюдается положительная динамика  благодаря программным мероприятиям, утвержденным постановлением от 29.07.10 г. № 422-п долгосрочной целевой программы по «Энергосбережению и повышению энергетической эффективности в Красноярском крае» и Муниципальной программы «Реформирование и модернизация жилищно-коммунального хозяйства и повышение энергетической эффективности» Подпрограммы № 2.  «Энергосбережение и повышение энергетической эффективности в городе Бородино".</w:t>
      </w:r>
    </w:p>
    <w:p w:rsidR="0044208C" w:rsidRP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Pr="00442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Проблемы при формировании доклада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208C" w:rsidRDefault="0044208C" w:rsidP="00442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313C8" w:rsidRDefault="00B313C8"/>
    <w:sectPr w:rsidR="00B313C8" w:rsidSect="000F50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36"/>
    <w:rsid w:val="00340049"/>
    <w:rsid w:val="0044208C"/>
    <w:rsid w:val="00B313C8"/>
    <w:rsid w:val="00B65D36"/>
    <w:rsid w:val="00F3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8037</Words>
  <Characters>45813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г.Бородино</Company>
  <LinksUpToDate>false</LinksUpToDate>
  <CharactersWithSpaces>53743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Машинцева И.А.</dc:creator>
  <cp:keywords/>
  <dc:description/>
  <cp:lastModifiedBy>Машинцева И.А.</cp:lastModifiedBy>
  <cp:revision>4</cp:revision>
  <cp:lastPrinted>2016-04-29T04:00:00Z</cp:lastPrinted>
  <dcterms:created xsi:type="dcterms:W3CDTF">2016-04-29T03:52:00Z</dcterms:created>
  <dcterms:modified xsi:type="dcterms:W3CDTF">2016-06-10T01:09:00Z</dcterms:modified>
</cp:coreProperties>
</file>